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rFonts w:ascii="Arial" w:cs="Arial" w:eastAsia="Arial" w:hAnsi="Arial"/>
          <w:sz w:val="20"/>
          <w:szCs w:val="20"/>
        </w:rPr>
        <w:sectPr>
          <w:pgSz w:h="15840" w:w="12240" w:orient="portrait"/>
          <w:pgMar w:bottom="1417" w:top="1417" w:left="1701" w:right="1701" w:header="708" w:footer="708"/>
          <w:pgNumType w:start="1"/>
        </w:sect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-1089657</wp:posOffset>
            </wp:positionH>
            <wp:positionV relativeFrom="paragraph">
              <wp:posOffset>-915033</wp:posOffset>
            </wp:positionV>
            <wp:extent cx="7774373" cy="10119360"/>
            <wp:effectExtent b="0" l="0" r="0" t="0"/>
            <wp:wrapNone/>
            <wp:docPr id="2101763733" name="image6.jpg"/>
            <a:graphic>
              <a:graphicData uri="http://schemas.openxmlformats.org/drawingml/2006/picture">
                <pic:pic>
                  <pic:nvPicPr>
                    <pic:cNvPr id="0" name="image6.jpg"/>
                    <pic:cNvPicPr preferRelativeResize="0"/>
                  </pic:nvPicPr>
                  <pic:blipFill>
                    <a:blip r:embed="rId8"/>
                    <a:srcRect b="0" l="0" r="0" t="0"/>
                    <a:stretch>
                      <a:fillRect/>
                    </a:stretch>
                  </pic:blipFill>
                  <pic:spPr>
                    <a:xfrm>
                      <a:off x="0" y="0"/>
                      <a:ext cx="7774373" cy="10119360"/>
                    </a:xfrm>
                    <a:prstGeom prst="rect"/>
                    <a:ln/>
                  </pic:spPr>
                </pic:pic>
              </a:graphicData>
            </a:graphic>
          </wp:anchor>
        </w:drawing>
      </w:r>
    </w:p>
    <w:p w:rsidR="00000000" w:rsidDel="00000000" w:rsidP="00000000" w:rsidRDefault="00000000" w:rsidRPr="00000000" w14:paraId="00000002">
      <w:pPr>
        <w:spacing w:after="0" w:lineRule="auto"/>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Imagen de portada y contraportada. </w:t>
      </w:r>
      <w:r w:rsidDel="00000000" w:rsidR="00000000" w:rsidRPr="00000000">
        <w:rPr>
          <w:rFonts w:ascii="Arial" w:cs="Arial" w:eastAsia="Arial" w:hAnsi="Arial"/>
          <w:sz w:val="20"/>
          <w:szCs w:val="20"/>
          <w:rtl w:val="0"/>
        </w:rPr>
        <w:t xml:space="preserve">Fotografía de un vuelo realizado en el incendio ocurrido en marzo 2024 en el municipio de Nanacamilpa, Tlaxcala, capturada por Cielito Drone Enterprise©</w:t>
      </w:r>
    </w:p>
    <w:p w:rsidR="00000000" w:rsidDel="00000000" w:rsidP="00000000" w:rsidRDefault="00000000" w:rsidRPr="00000000" w14:paraId="00000003">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4">
      <w:pPr>
        <w:spacing w:after="0" w:line="240" w:lineRule="auto"/>
        <w:rPr>
          <w:rFonts w:ascii="Arial" w:cs="Arial" w:eastAsia="Arial" w:hAnsi="Arial"/>
          <w:sz w:val="20"/>
          <w:szCs w:val="20"/>
        </w:rPr>
      </w:pPr>
      <w:r w:rsidDel="00000000" w:rsidR="00000000" w:rsidRPr="00000000">
        <w:rPr>
          <w:rFonts w:ascii="Arial" w:cs="Arial" w:eastAsia="Arial" w:hAnsi="Arial"/>
          <w:b w:val="1"/>
          <w:color w:val="000000"/>
          <w:sz w:val="20"/>
          <w:szCs w:val="20"/>
          <w:rtl w:val="0"/>
        </w:rPr>
        <w:t xml:space="preserve">Comando Norte de Estados Unidos (USNORTHCOM)</w:t>
      </w:r>
      <w:r w:rsidDel="00000000" w:rsidR="00000000" w:rsidRPr="00000000">
        <w:rPr>
          <w:rtl w:val="0"/>
        </w:rPr>
      </w:r>
    </w:p>
    <w:p w:rsidR="00000000" w:rsidDel="00000000" w:rsidP="00000000" w:rsidRDefault="00000000" w:rsidRPr="00000000" w14:paraId="00000005">
      <w:pPr>
        <w:spacing w:after="0" w:line="240" w:lineRule="auto"/>
        <w:rPr>
          <w:rFonts w:ascii="Arial" w:cs="Arial" w:eastAsia="Arial" w:hAnsi="Arial"/>
          <w:sz w:val="20"/>
          <w:szCs w:val="20"/>
        </w:rPr>
      </w:pPr>
      <w:hyperlink r:id="rId9">
        <w:r w:rsidDel="00000000" w:rsidR="00000000" w:rsidRPr="00000000">
          <w:rPr>
            <w:rFonts w:ascii="Arial" w:cs="Arial" w:eastAsia="Arial" w:hAnsi="Arial"/>
            <w:color w:val="467886"/>
            <w:sz w:val="20"/>
            <w:szCs w:val="20"/>
            <w:u w:val="single"/>
            <w:rtl w:val="0"/>
          </w:rPr>
          <w:t xml:space="preserve">https://www.northcom.mil/</w:t>
        </w:r>
      </w:hyperlink>
      <w:r w:rsidDel="00000000" w:rsidR="00000000" w:rsidRPr="00000000">
        <w:rPr>
          <w:rtl w:val="0"/>
        </w:rPr>
      </w:r>
    </w:p>
    <w:p w:rsidR="00000000" w:rsidDel="00000000" w:rsidP="00000000" w:rsidRDefault="00000000" w:rsidRPr="00000000" w14:paraId="00000006">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7">
      <w:pPr>
        <w:spacing w:after="0" w:line="240" w:lineRule="auto"/>
        <w:rPr>
          <w:rFonts w:ascii="Arial" w:cs="Arial" w:eastAsia="Arial" w:hAnsi="Arial"/>
          <w:sz w:val="20"/>
          <w:szCs w:val="20"/>
        </w:rPr>
      </w:pPr>
      <w:r w:rsidDel="00000000" w:rsidR="00000000" w:rsidRPr="00000000">
        <w:rPr>
          <w:rFonts w:ascii="Arial" w:cs="Arial" w:eastAsia="Arial" w:hAnsi="Arial"/>
          <w:b w:val="1"/>
          <w:color w:val="000000"/>
          <w:sz w:val="20"/>
          <w:szCs w:val="20"/>
          <w:rtl w:val="0"/>
        </w:rPr>
        <w:t xml:space="preserve">Comisión Nacional Forestal (CONAFOR)</w:t>
      </w:r>
      <w:r w:rsidDel="00000000" w:rsidR="00000000" w:rsidRPr="00000000">
        <w:rPr>
          <w:rtl w:val="0"/>
        </w:rPr>
      </w:r>
    </w:p>
    <w:p w:rsidR="00000000" w:rsidDel="00000000" w:rsidP="00000000" w:rsidRDefault="00000000" w:rsidRPr="00000000" w14:paraId="00000008">
      <w:pPr>
        <w:spacing w:after="0" w:line="240" w:lineRule="auto"/>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Oficinas Centrales</w:t>
      </w:r>
      <w:r w:rsidDel="00000000" w:rsidR="00000000" w:rsidRPr="00000000">
        <w:rPr>
          <w:rtl w:val="0"/>
        </w:rPr>
      </w:r>
    </w:p>
    <w:p w:rsidR="00000000" w:rsidDel="00000000" w:rsidP="00000000" w:rsidRDefault="00000000" w:rsidRPr="00000000" w14:paraId="00000009">
      <w:pPr>
        <w:spacing w:after="0" w:line="240" w:lineRule="auto"/>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Periférico Poniente 5360, Col. San Juan de Ocotán, C.P. 45019, Zapopan, Jalisco</w:t>
      </w:r>
      <w:r w:rsidDel="00000000" w:rsidR="00000000" w:rsidRPr="00000000">
        <w:rPr>
          <w:rtl w:val="0"/>
        </w:rPr>
      </w:r>
    </w:p>
    <w:p w:rsidR="00000000" w:rsidDel="00000000" w:rsidP="00000000" w:rsidRDefault="00000000" w:rsidRPr="00000000" w14:paraId="0000000A">
      <w:pPr>
        <w:spacing w:after="0" w:line="240" w:lineRule="auto"/>
        <w:rPr>
          <w:rFonts w:ascii="Arial" w:cs="Arial" w:eastAsia="Arial" w:hAnsi="Arial"/>
          <w:sz w:val="20"/>
          <w:szCs w:val="20"/>
        </w:rPr>
      </w:pPr>
      <w:hyperlink r:id="rId10">
        <w:r w:rsidDel="00000000" w:rsidR="00000000" w:rsidRPr="00000000">
          <w:rPr>
            <w:rFonts w:ascii="Arial" w:cs="Arial" w:eastAsia="Arial" w:hAnsi="Arial"/>
            <w:color w:val="467886"/>
            <w:sz w:val="20"/>
            <w:szCs w:val="20"/>
            <w:u w:val="single"/>
            <w:rtl w:val="0"/>
          </w:rPr>
          <w:t xml:space="preserve">www.gob.mx/conafor</w:t>
        </w:r>
      </w:hyperlink>
      <w:r w:rsidDel="00000000" w:rsidR="00000000" w:rsidRPr="00000000">
        <w:rPr>
          <w:rtl w:val="0"/>
        </w:rPr>
      </w:r>
    </w:p>
    <w:p w:rsidR="00000000" w:rsidDel="00000000" w:rsidP="00000000" w:rsidRDefault="00000000" w:rsidRPr="00000000" w14:paraId="0000000B">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C">
      <w:pPr>
        <w:spacing w:after="0" w:line="240" w:lineRule="auto"/>
        <w:rPr>
          <w:rFonts w:ascii="Arial" w:cs="Arial" w:eastAsia="Arial" w:hAnsi="Arial"/>
          <w:sz w:val="20"/>
          <w:szCs w:val="20"/>
        </w:rPr>
      </w:pPr>
      <w:r w:rsidDel="00000000" w:rsidR="00000000" w:rsidRPr="00000000">
        <w:rPr>
          <w:rFonts w:ascii="Arial" w:cs="Arial" w:eastAsia="Arial" w:hAnsi="Arial"/>
          <w:b w:val="1"/>
          <w:color w:val="000000"/>
          <w:sz w:val="20"/>
          <w:szCs w:val="20"/>
          <w:rtl w:val="0"/>
        </w:rPr>
        <w:t xml:space="preserve">Universidad Juárez del Estado de Durango (UJED)</w:t>
      </w:r>
      <w:r w:rsidDel="00000000" w:rsidR="00000000" w:rsidRPr="00000000">
        <w:rPr>
          <w:rtl w:val="0"/>
        </w:rPr>
      </w:r>
    </w:p>
    <w:p w:rsidR="00000000" w:rsidDel="00000000" w:rsidP="00000000" w:rsidRDefault="00000000" w:rsidRPr="00000000" w14:paraId="0000000D">
      <w:pPr>
        <w:spacing w:after="0" w:line="240" w:lineRule="auto"/>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Facultad de Ciencias Forestales y Ambientales</w:t>
      </w:r>
      <w:r w:rsidDel="00000000" w:rsidR="00000000" w:rsidRPr="00000000">
        <w:rPr>
          <w:rtl w:val="0"/>
        </w:rPr>
      </w:r>
    </w:p>
    <w:p w:rsidR="00000000" w:rsidDel="00000000" w:rsidP="00000000" w:rsidRDefault="00000000" w:rsidRPr="00000000" w14:paraId="0000000E">
      <w:pPr>
        <w:spacing w:after="0" w:line="240" w:lineRule="auto"/>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Río Papaloapan y Boulevard Durango s/n. Col. Valle del Sur C.P. 34120. Durango, Dgo. México.</w:t>
      </w:r>
      <w:r w:rsidDel="00000000" w:rsidR="00000000" w:rsidRPr="00000000">
        <w:rPr>
          <w:rtl w:val="0"/>
        </w:rPr>
      </w:r>
    </w:p>
    <w:p w:rsidR="00000000" w:rsidDel="00000000" w:rsidP="00000000" w:rsidRDefault="00000000" w:rsidRPr="00000000" w14:paraId="0000000F">
      <w:pPr>
        <w:spacing w:after="0" w:line="240" w:lineRule="auto"/>
        <w:rPr>
          <w:rFonts w:ascii="Arial" w:cs="Arial" w:eastAsia="Arial" w:hAnsi="Arial"/>
          <w:sz w:val="20"/>
          <w:szCs w:val="20"/>
        </w:rPr>
      </w:pPr>
      <w:hyperlink r:id="rId11">
        <w:r w:rsidDel="00000000" w:rsidR="00000000" w:rsidRPr="00000000">
          <w:rPr>
            <w:rFonts w:ascii="Arial" w:cs="Arial" w:eastAsia="Arial" w:hAnsi="Arial"/>
            <w:color w:val="467886"/>
            <w:sz w:val="20"/>
            <w:szCs w:val="20"/>
            <w:u w:val="single"/>
            <w:rtl w:val="0"/>
          </w:rPr>
          <w:t xml:space="preserve">http://forestales.ujed.mx</w:t>
        </w:r>
      </w:hyperlink>
      <w:r w:rsidDel="00000000" w:rsidR="00000000" w:rsidRPr="00000000">
        <w:rPr>
          <w:rtl w:val="0"/>
        </w:rPr>
      </w:r>
    </w:p>
    <w:p w:rsidR="00000000" w:rsidDel="00000000" w:rsidP="00000000" w:rsidRDefault="00000000" w:rsidRPr="00000000" w14:paraId="00000010">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1">
      <w:pPr>
        <w:spacing w:after="0" w:line="240" w:lineRule="auto"/>
        <w:rPr>
          <w:rFonts w:ascii="Arial" w:cs="Arial" w:eastAsia="Arial" w:hAnsi="Arial"/>
          <w:sz w:val="20"/>
          <w:szCs w:val="20"/>
        </w:rPr>
      </w:pPr>
      <w:r w:rsidDel="00000000" w:rsidR="00000000" w:rsidRPr="00000000">
        <w:rPr>
          <w:rFonts w:ascii="Arial" w:cs="Arial" w:eastAsia="Arial" w:hAnsi="Arial"/>
          <w:b w:val="1"/>
          <w:color w:val="000000"/>
          <w:sz w:val="20"/>
          <w:szCs w:val="20"/>
          <w:rtl w:val="0"/>
        </w:rPr>
        <w:t xml:space="preserve">Coordinación institucional</w:t>
      </w:r>
      <w:r w:rsidDel="00000000" w:rsidR="00000000" w:rsidRPr="00000000">
        <w:rPr>
          <w:rtl w:val="0"/>
        </w:rPr>
      </w:r>
    </w:p>
    <w:p w:rsidR="00000000" w:rsidDel="00000000" w:rsidP="00000000" w:rsidRDefault="00000000" w:rsidRPr="00000000" w14:paraId="00000012">
      <w:pPr>
        <w:spacing w:after="0" w:line="24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Ana Cristina Nafarrate Hecht</w:t>
      </w:r>
    </w:p>
    <w:p w:rsidR="00000000" w:rsidDel="00000000" w:rsidP="00000000" w:rsidRDefault="00000000" w:rsidRPr="00000000" w14:paraId="00000013">
      <w:pPr>
        <w:spacing w:after="0" w:line="240" w:lineRule="auto"/>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Cesar Alberto Robles Gutiérrez, CONAFOR</w:t>
      </w:r>
      <w:r w:rsidDel="00000000" w:rsidR="00000000" w:rsidRPr="00000000">
        <w:rPr>
          <w:rtl w:val="0"/>
        </w:rPr>
      </w:r>
    </w:p>
    <w:p w:rsidR="00000000" w:rsidDel="00000000" w:rsidP="00000000" w:rsidRDefault="00000000" w:rsidRPr="00000000" w14:paraId="00000014">
      <w:pPr>
        <w:spacing w:after="0" w:line="24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Aketzalli Nayely Camarena Hernández</w:t>
      </w:r>
    </w:p>
    <w:p w:rsidR="00000000" w:rsidDel="00000000" w:rsidP="00000000" w:rsidRDefault="00000000" w:rsidRPr="00000000" w14:paraId="00000015">
      <w:pPr>
        <w:spacing w:after="0" w:line="240" w:lineRule="auto"/>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José Javier Corral Rivas, UJED</w:t>
      </w:r>
      <w:r w:rsidDel="00000000" w:rsidR="00000000" w:rsidRPr="00000000">
        <w:rPr>
          <w:rtl w:val="0"/>
        </w:rPr>
      </w:r>
    </w:p>
    <w:p w:rsidR="00000000" w:rsidDel="00000000" w:rsidP="00000000" w:rsidRDefault="00000000" w:rsidRPr="00000000" w14:paraId="00000016">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7">
      <w:pPr>
        <w:spacing w:after="0" w:line="240" w:lineRule="auto"/>
        <w:rPr>
          <w:rFonts w:ascii="Arial" w:cs="Arial" w:eastAsia="Arial" w:hAnsi="Arial"/>
          <w:sz w:val="20"/>
          <w:szCs w:val="20"/>
        </w:rPr>
      </w:pPr>
      <w:r w:rsidDel="00000000" w:rsidR="00000000" w:rsidRPr="00000000">
        <w:rPr>
          <w:rFonts w:ascii="Arial" w:cs="Arial" w:eastAsia="Arial" w:hAnsi="Arial"/>
          <w:b w:val="1"/>
          <w:color w:val="000000"/>
          <w:sz w:val="20"/>
          <w:szCs w:val="20"/>
          <w:rtl w:val="0"/>
        </w:rPr>
        <w:t xml:space="preserve">Coordinación técnico-científica</w:t>
      </w:r>
      <w:r w:rsidDel="00000000" w:rsidR="00000000" w:rsidRPr="00000000">
        <w:rPr>
          <w:rtl w:val="0"/>
        </w:rPr>
      </w:r>
    </w:p>
    <w:p w:rsidR="00000000" w:rsidDel="00000000" w:rsidP="00000000" w:rsidRDefault="00000000" w:rsidRPr="00000000" w14:paraId="00000018">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Adrián Israel Silva Cardoza</w:t>
      </w:r>
    </w:p>
    <w:p w:rsidR="00000000" w:rsidDel="00000000" w:rsidP="00000000" w:rsidRDefault="00000000" w:rsidRPr="00000000" w14:paraId="00000019">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Daniel José Vega Nieva, UJED</w:t>
      </w:r>
    </w:p>
    <w:p w:rsidR="00000000" w:rsidDel="00000000" w:rsidP="00000000" w:rsidRDefault="00000000" w:rsidRPr="00000000" w14:paraId="0000001A">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Yair Uriel Ricárdez Díaz</w:t>
      </w:r>
    </w:p>
    <w:p w:rsidR="00000000" w:rsidDel="00000000" w:rsidP="00000000" w:rsidRDefault="00000000" w:rsidRPr="00000000" w14:paraId="0000001B">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Fabiola Isabel Esquerra Manjarrez, CONAFOR</w:t>
      </w:r>
    </w:p>
    <w:p w:rsidR="00000000" w:rsidDel="00000000" w:rsidP="00000000" w:rsidRDefault="00000000" w:rsidRPr="00000000" w14:paraId="0000001C">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D">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Para citar este documento:</w:t>
      </w:r>
    </w:p>
    <w:p w:rsidR="00000000" w:rsidDel="00000000" w:rsidP="00000000" w:rsidRDefault="00000000" w:rsidRPr="00000000" w14:paraId="0000001E">
      <w:pPr>
        <w:jc w:val="both"/>
        <w:rPr>
          <w:rFonts w:ascii="Arial" w:cs="Arial" w:eastAsia="Arial" w:hAnsi="Arial"/>
          <w:i w:val="1"/>
          <w:sz w:val="20"/>
          <w:szCs w:val="20"/>
        </w:rPr>
      </w:pPr>
      <w:bookmarkStart w:colFirst="0" w:colLast="0" w:name="_heading=h.1fob9te" w:id="0"/>
      <w:bookmarkEnd w:id="0"/>
      <w:r w:rsidDel="00000000" w:rsidR="00000000" w:rsidRPr="00000000">
        <w:rPr>
          <w:rFonts w:ascii="Arial" w:cs="Arial" w:eastAsia="Arial" w:hAnsi="Arial"/>
          <w:sz w:val="20"/>
          <w:szCs w:val="20"/>
          <w:rtl w:val="0"/>
        </w:rPr>
        <w:t xml:space="preserve">Silva-Cardoza, A.I.; Vega-Nieva, D.J.; Briseño Reyes, J.; Tinoco Orozco, D.A.; Monjarás-Vega, N.A.; Briones-Herrera, C.I.; Robles-Gutiérrez, C.A. Esquerra Manjarrez, F.I.; Ricárdez Díaz, Y.U.; Salas Partida, A.V.  (2024). Metodología para la actualización del mapa de áreas prioritarias contra incendios forestales 2024. Comisión Nacional Forestal-Universidad Juárez del Estado de Durango, México. Diciembre 2024</w:t>
      </w:r>
      <w:r w:rsidDel="00000000" w:rsidR="00000000" w:rsidRPr="00000000">
        <w:br w:type="page"/>
      </w:r>
      <w:r w:rsidDel="00000000" w:rsidR="00000000" w:rsidRPr="00000000">
        <w:rPr>
          <w:rtl w:val="0"/>
        </w:rPr>
      </w:r>
    </w:p>
    <w:p w:rsidR="00000000" w:rsidDel="00000000" w:rsidP="00000000" w:rsidRDefault="00000000" w:rsidRPr="00000000" w14:paraId="0000001F">
      <w:pPr>
        <w:pStyle w:val="Heading1"/>
        <w:rPr>
          <w:b w:val="1"/>
          <w:color w:val="135b42"/>
          <w:sz w:val="32"/>
          <w:szCs w:val="32"/>
        </w:rPr>
      </w:pPr>
      <w:bookmarkStart w:colFirst="0" w:colLast="0" w:name="_heading=h.l3irl6s2ivz2" w:id="1"/>
      <w:bookmarkEnd w:id="1"/>
      <w:r w:rsidDel="00000000" w:rsidR="00000000" w:rsidRPr="00000000">
        <w:rPr>
          <w:b w:val="1"/>
          <w:color w:val="135b42"/>
          <w:sz w:val="32"/>
          <w:szCs w:val="32"/>
          <w:rtl w:val="0"/>
        </w:rPr>
        <w:t xml:space="preserve">Créditos</w:t>
      </w:r>
    </w:p>
    <w:p w:rsidR="00000000" w:rsidDel="00000000" w:rsidP="00000000" w:rsidRDefault="00000000" w:rsidRPr="00000000" w14:paraId="00000020">
      <w:pPr>
        <w:spacing w:after="0" w:line="276" w:lineRule="auto"/>
        <w:jc w:val="both"/>
        <w:rPr>
          <w:rFonts w:ascii="Arial" w:cs="Arial" w:eastAsia="Arial" w:hAnsi="Arial"/>
          <w:color w:val="000000"/>
          <w:sz w:val="20"/>
          <w:szCs w:val="20"/>
        </w:rPr>
      </w:pPr>
      <w:bookmarkStart w:colFirst="0" w:colLast="0" w:name="_heading=h.319y80a" w:id="2"/>
      <w:bookmarkEnd w:id="2"/>
      <w:r w:rsidDel="00000000" w:rsidR="00000000" w:rsidRPr="00000000">
        <w:rPr>
          <w:rFonts w:ascii="Arial" w:cs="Arial" w:eastAsia="Arial" w:hAnsi="Arial"/>
          <w:color w:val="000000"/>
          <w:sz w:val="20"/>
          <w:szCs w:val="20"/>
          <w:rtl w:val="0"/>
        </w:rPr>
        <w:t xml:space="preserve">El presente trabajo se enmarca en los resultados obtenidos a través del proyecto </w:t>
      </w:r>
      <w:r w:rsidDel="00000000" w:rsidR="00000000" w:rsidRPr="00000000">
        <w:rPr>
          <w:rFonts w:ascii="Arial" w:cs="Arial" w:eastAsia="Arial" w:hAnsi="Arial"/>
          <w:b w:val="1"/>
          <w:color w:val="000000"/>
          <w:sz w:val="20"/>
          <w:szCs w:val="20"/>
          <w:rtl w:val="0"/>
        </w:rPr>
        <w:t xml:space="preserve">“Reforzamiento y actualización del Sistema de Predicción de Peligro de Incendios Forestales de México”.</w:t>
      </w:r>
      <w:r w:rsidDel="00000000" w:rsidR="00000000" w:rsidRPr="00000000">
        <w:rPr>
          <w:rFonts w:ascii="Arial" w:cs="Arial" w:eastAsia="Arial" w:hAnsi="Arial"/>
          <w:color w:val="000000"/>
          <w:sz w:val="20"/>
          <w:szCs w:val="20"/>
          <w:rtl w:val="0"/>
        </w:rPr>
        <w:t xml:space="preserve"> Este esfuerzo ha sido posible gracias al financiamiento proporcionado por el Comando Norte de los Estados Unidos (U.S. Northern Command), así como a la coordinación de la Comisión Nacional Forestal (CONAFOR) de México. Los hallazgos y conclusiones de este trabajo son responsabilidad exclusiva de los autores y no representan la opinión o determinación de política de ningún funcionario del Comando Norte de los Estados Unido</w:t>
      </w:r>
      <w:r w:rsidDel="00000000" w:rsidR="00000000" w:rsidRPr="00000000">
        <w:rPr>
          <w:rFonts w:ascii="Arial" w:cs="Arial" w:eastAsia="Arial" w:hAnsi="Arial"/>
          <w:sz w:val="20"/>
          <w:szCs w:val="20"/>
          <w:rtl w:val="0"/>
        </w:rPr>
        <w:t xml:space="preserve">s o</w:t>
      </w:r>
      <w:r w:rsidDel="00000000" w:rsidR="00000000" w:rsidRPr="00000000">
        <w:rPr>
          <w:rFonts w:ascii="Arial" w:cs="Arial" w:eastAsia="Arial" w:hAnsi="Arial"/>
          <w:color w:val="000000"/>
          <w:sz w:val="20"/>
          <w:szCs w:val="20"/>
          <w:rtl w:val="0"/>
        </w:rPr>
        <w:t xml:space="preserve"> el gobierno de los Estados Unidos.</w:t>
      </w:r>
    </w:p>
    <w:p w:rsidR="00000000" w:rsidDel="00000000" w:rsidP="00000000" w:rsidRDefault="00000000" w:rsidRPr="00000000" w14:paraId="00000021">
      <w:pPr>
        <w:pStyle w:val="Heading1"/>
        <w:rPr>
          <w:b w:val="1"/>
          <w:color w:val="135b42"/>
          <w:sz w:val="32"/>
          <w:szCs w:val="32"/>
        </w:rPr>
      </w:pPr>
      <w:bookmarkStart w:colFirst="0" w:colLast="0" w:name="_heading=h.3t7n7fo9wt9y" w:id="3"/>
      <w:bookmarkEnd w:id="3"/>
      <w:r w:rsidDel="00000000" w:rsidR="00000000" w:rsidRPr="00000000">
        <w:rPr>
          <w:b w:val="1"/>
          <w:color w:val="135b42"/>
          <w:sz w:val="32"/>
          <w:szCs w:val="32"/>
          <w:rtl w:val="0"/>
        </w:rPr>
        <w:t xml:space="preserve">Agradecimientos</w:t>
      </w:r>
    </w:p>
    <w:p w:rsidR="00000000" w:rsidDel="00000000" w:rsidP="00000000" w:rsidRDefault="00000000" w:rsidRPr="00000000" w14:paraId="00000022">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Agradecemos a los especialistas y colaboradores que contribuyeron en el proceso de elaboración del mapa de áreas prioritarias de protección contra incendios forestales 2024.</w:t>
      </w:r>
    </w:p>
    <w:p w:rsidR="00000000" w:rsidDel="00000000" w:rsidP="00000000" w:rsidRDefault="00000000" w:rsidRPr="00000000" w14:paraId="00000023">
      <w:pPr>
        <w:spacing w:after="0" w:line="240" w:lineRule="auto"/>
        <w:jc w:val="both"/>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24">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M.G. Adrián Israel Silva Cardoza</w:t>
      </w:r>
    </w:p>
    <w:p w:rsidR="00000000" w:rsidDel="00000000" w:rsidP="00000000" w:rsidRDefault="00000000" w:rsidRPr="00000000" w14:paraId="00000025">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Dr. Daniel José Vega Nieva </w:t>
      </w:r>
    </w:p>
    <w:p w:rsidR="00000000" w:rsidDel="00000000" w:rsidP="00000000" w:rsidRDefault="00000000" w:rsidRPr="00000000" w14:paraId="00000026">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Dr. Jaime Briseño-Reyes</w:t>
      </w:r>
    </w:p>
    <w:p w:rsidR="00000000" w:rsidDel="00000000" w:rsidP="00000000" w:rsidRDefault="00000000" w:rsidRPr="00000000" w14:paraId="00000027">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M.C. Diana Aime Tinoco Orozco</w:t>
      </w:r>
    </w:p>
    <w:p w:rsidR="00000000" w:rsidDel="00000000" w:rsidP="00000000" w:rsidRDefault="00000000" w:rsidRPr="00000000" w14:paraId="00000028">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M.C. Norma Angélica Monjarás Vega</w:t>
      </w:r>
    </w:p>
    <w:p w:rsidR="00000000" w:rsidDel="00000000" w:rsidP="00000000" w:rsidRDefault="00000000" w:rsidRPr="00000000" w14:paraId="00000029">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M.C. Carlos Ivan Briones Herrera</w:t>
      </w:r>
    </w:p>
    <w:p w:rsidR="00000000" w:rsidDel="00000000" w:rsidP="00000000" w:rsidRDefault="00000000" w:rsidRPr="00000000" w14:paraId="0000002A">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M.C. Cesar Alberto Robles Gutiérrez</w:t>
      </w:r>
    </w:p>
    <w:p w:rsidR="00000000" w:rsidDel="00000000" w:rsidP="00000000" w:rsidRDefault="00000000" w:rsidRPr="00000000" w14:paraId="0000002B">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Ing. Fabiola Isabel Esquerra Manjarrez</w:t>
      </w:r>
    </w:p>
    <w:p w:rsidR="00000000" w:rsidDel="00000000" w:rsidP="00000000" w:rsidRDefault="00000000" w:rsidRPr="00000000" w14:paraId="0000002C">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Ing. Yair Uriel Ricárdez Díaz</w:t>
      </w:r>
    </w:p>
    <w:p w:rsidR="00000000" w:rsidDel="00000000" w:rsidP="00000000" w:rsidRDefault="00000000" w:rsidRPr="00000000" w14:paraId="0000002D">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Biol. Alicia Verónica Salas Partida</w:t>
      </w:r>
    </w:p>
    <w:p w:rsidR="00000000" w:rsidDel="00000000" w:rsidP="00000000" w:rsidRDefault="00000000" w:rsidRPr="00000000" w14:paraId="0000002E">
      <w:pPr>
        <w:spacing w:after="0" w:line="240" w:lineRule="auto"/>
        <w:jc w:val="both"/>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2F">
      <w:pPr>
        <w:spacing w:after="0" w:line="24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Asimismo, a las instituciones quienes facilitan el acceso a la información que permiten el desarrollo de productos para México.</w:t>
      </w:r>
    </w:p>
    <w:p w:rsidR="00000000" w:rsidDel="00000000" w:rsidP="00000000" w:rsidRDefault="00000000" w:rsidRPr="00000000" w14:paraId="00000030">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1">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2">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3">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4">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5">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6">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7">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8">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9">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A">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B">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C">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D">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E">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3F">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40">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41">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42">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43">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44">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45">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46">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47">
      <w:pPr>
        <w:spacing w:after="0" w:line="24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48">
      <w:pPr>
        <w:keepNext w:val="1"/>
        <w:keepLines w:val="1"/>
        <w:pBdr>
          <w:top w:space="0" w:sz="0" w:val="nil"/>
          <w:left w:space="0" w:sz="0" w:val="nil"/>
          <w:bottom w:space="0" w:sz="0" w:val="nil"/>
          <w:right w:space="0" w:sz="0" w:val="nil"/>
          <w:between w:space="0" w:sz="0" w:val="nil"/>
        </w:pBdr>
        <w:spacing w:after="0" w:before="240" w:lineRule="auto"/>
        <w:rPr>
          <w:rFonts w:ascii="Arial" w:cs="Arial" w:eastAsia="Arial" w:hAnsi="Arial"/>
          <w:b w:val="1"/>
          <w:color w:val="0c3512"/>
          <w:sz w:val="20"/>
          <w:szCs w:val="20"/>
        </w:rPr>
      </w:pPr>
      <w:bookmarkStart w:colFirst="0" w:colLast="0" w:name="_heading=h.1gf8i83" w:id="4"/>
      <w:bookmarkEnd w:id="4"/>
      <w:r w:rsidDel="00000000" w:rsidR="00000000" w:rsidRPr="00000000">
        <w:rPr>
          <w:rFonts w:ascii="Arial" w:cs="Arial" w:eastAsia="Arial" w:hAnsi="Arial"/>
          <w:b w:val="1"/>
          <w:color w:val="0c3512"/>
          <w:sz w:val="20"/>
          <w:szCs w:val="20"/>
          <w:rtl w:val="0"/>
        </w:rPr>
        <w:t xml:space="preserve">Contenido</w:t>
      </w:r>
    </w:p>
    <w:sdt>
      <w:sdtPr>
        <w:docPartObj>
          <w:docPartGallery w:val="Table of Contents"/>
          <w:docPartUnique w:val="1"/>
        </w:docPartObj>
      </w:sdtPr>
      <w:sdtContent>
        <w:p w:rsidR="00000000" w:rsidDel="00000000" w:rsidP="00000000" w:rsidRDefault="00000000" w:rsidRPr="00000000" w14:paraId="00000049">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r w:rsidDel="00000000" w:rsidR="00000000" w:rsidRPr="00000000">
            <w:fldChar w:fldCharType="begin"/>
            <w:instrText xml:space="preserve"> TOC \h \u \z \t "Heading 1,1,Heading 2,2,Heading 3,3,"</w:instrText>
            <w:fldChar w:fldCharType="separate"/>
          </w:r>
          <w:hyperlink w:anchor="_heading=h.l3irl6s2ivz2">
            <w:r w:rsidDel="00000000" w:rsidR="00000000" w:rsidRPr="00000000">
              <w:rPr>
                <w:rFonts w:ascii="Arial" w:cs="Arial" w:eastAsia="Arial" w:hAnsi="Arial"/>
                <w:b w:val="1"/>
                <w:color w:val="000000"/>
                <w:sz w:val="20"/>
                <w:szCs w:val="20"/>
                <w:rtl w:val="0"/>
              </w:rPr>
              <w:t xml:space="preserve">Créditos</w:t>
            </w:r>
          </w:hyperlink>
          <w:hyperlink w:anchor="_heading=h.l3irl6s2ivz2">
            <w:r w:rsidDel="00000000" w:rsidR="00000000" w:rsidRPr="00000000">
              <w:rPr>
                <w:rFonts w:ascii="Arial" w:cs="Arial" w:eastAsia="Arial" w:hAnsi="Arial"/>
                <w:color w:val="000000"/>
                <w:sz w:val="20"/>
                <w:szCs w:val="20"/>
                <w:rtl w:val="0"/>
              </w:rPr>
              <w:tab/>
              <w:t xml:space="preserve">2</w:t>
            </w:r>
          </w:hyperlink>
          <w:r w:rsidDel="00000000" w:rsidR="00000000" w:rsidRPr="00000000">
            <w:rPr>
              <w:rtl w:val="0"/>
            </w:rPr>
          </w:r>
        </w:p>
        <w:p w:rsidR="00000000" w:rsidDel="00000000" w:rsidP="00000000" w:rsidRDefault="00000000" w:rsidRPr="00000000" w14:paraId="0000004A">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hyperlink w:anchor="_heading=h.3t7n7fo9wt9y">
            <w:r w:rsidDel="00000000" w:rsidR="00000000" w:rsidRPr="00000000">
              <w:rPr>
                <w:rFonts w:ascii="Arial" w:cs="Arial" w:eastAsia="Arial" w:hAnsi="Arial"/>
                <w:b w:val="1"/>
                <w:color w:val="000000"/>
                <w:sz w:val="20"/>
                <w:szCs w:val="20"/>
                <w:rtl w:val="0"/>
              </w:rPr>
              <w:t xml:space="preserve">Agradecimientos</w:t>
            </w:r>
          </w:hyperlink>
          <w:hyperlink w:anchor="_heading=h.3t7n7fo9wt9y">
            <w:r w:rsidDel="00000000" w:rsidR="00000000" w:rsidRPr="00000000">
              <w:rPr>
                <w:rFonts w:ascii="Arial" w:cs="Arial" w:eastAsia="Arial" w:hAnsi="Arial"/>
                <w:color w:val="000000"/>
                <w:sz w:val="20"/>
                <w:szCs w:val="20"/>
                <w:rtl w:val="0"/>
              </w:rPr>
              <w:tab/>
              <w:t xml:space="preserve">2</w:t>
            </w:r>
          </w:hyperlink>
          <w:r w:rsidDel="00000000" w:rsidR="00000000" w:rsidRPr="00000000">
            <w:rPr>
              <w:rtl w:val="0"/>
            </w:rPr>
          </w:r>
        </w:p>
        <w:p w:rsidR="00000000" w:rsidDel="00000000" w:rsidP="00000000" w:rsidRDefault="00000000" w:rsidRPr="00000000" w14:paraId="0000004B">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hyperlink w:anchor="_heading=h.quih7yn7vuf1">
            <w:r w:rsidDel="00000000" w:rsidR="00000000" w:rsidRPr="00000000">
              <w:rPr>
                <w:rFonts w:ascii="Arial" w:cs="Arial" w:eastAsia="Arial" w:hAnsi="Arial"/>
                <w:b w:val="1"/>
                <w:color w:val="000000"/>
                <w:sz w:val="20"/>
                <w:szCs w:val="20"/>
                <w:rtl w:val="0"/>
              </w:rPr>
              <w:t xml:space="preserve">Resumen</w:t>
            </w:r>
          </w:hyperlink>
          <w:hyperlink w:anchor="_heading=h.quih7yn7vuf1">
            <w:r w:rsidDel="00000000" w:rsidR="00000000" w:rsidRPr="00000000">
              <w:rPr>
                <w:rFonts w:ascii="Arial" w:cs="Arial" w:eastAsia="Arial" w:hAnsi="Arial"/>
                <w:color w:val="000000"/>
                <w:sz w:val="20"/>
                <w:szCs w:val="20"/>
                <w:rtl w:val="0"/>
              </w:rPr>
              <w:tab/>
              <w:t xml:space="preserve">4</w:t>
            </w:r>
          </w:hyperlink>
          <w:r w:rsidDel="00000000" w:rsidR="00000000" w:rsidRPr="00000000">
            <w:rPr>
              <w:rtl w:val="0"/>
            </w:rPr>
          </w:r>
        </w:p>
        <w:p w:rsidR="00000000" w:rsidDel="00000000" w:rsidP="00000000" w:rsidRDefault="00000000" w:rsidRPr="00000000" w14:paraId="0000004C">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hyperlink w:anchor="_heading=h.o2kttk61kac1">
            <w:r w:rsidDel="00000000" w:rsidR="00000000" w:rsidRPr="00000000">
              <w:rPr>
                <w:rFonts w:ascii="Arial" w:cs="Arial" w:eastAsia="Arial" w:hAnsi="Arial"/>
                <w:b w:val="1"/>
                <w:color w:val="000000"/>
                <w:sz w:val="20"/>
                <w:szCs w:val="20"/>
                <w:rtl w:val="0"/>
              </w:rPr>
              <w:t xml:space="preserve">Antecedentes</w:t>
            </w:r>
          </w:hyperlink>
          <w:hyperlink w:anchor="_heading=h.o2kttk61kac1">
            <w:r w:rsidDel="00000000" w:rsidR="00000000" w:rsidRPr="00000000">
              <w:rPr>
                <w:rFonts w:ascii="Arial" w:cs="Arial" w:eastAsia="Arial" w:hAnsi="Arial"/>
                <w:color w:val="000000"/>
                <w:sz w:val="20"/>
                <w:szCs w:val="20"/>
                <w:rtl w:val="0"/>
              </w:rPr>
              <w:tab/>
              <w:t xml:space="preserve">5</w:t>
            </w:r>
          </w:hyperlink>
          <w:r w:rsidDel="00000000" w:rsidR="00000000" w:rsidRPr="00000000">
            <w:rPr>
              <w:rtl w:val="0"/>
            </w:rPr>
          </w:r>
        </w:p>
        <w:p w:rsidR="00000000" w:rsidDel="00000000" w:rsidP="00000000" w:rsidRDefault="00000000" w:rsidRPr="00000000" w14:paraId="0000004D">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hyperlink w:anchor="_heading=h.op8g06uavmoq">
            <w:r w:rsidDel="00000000" w:rsidR="00000000" w:rsidRPr="00000000">
              <w:rPr>
                <w:rFonts w:ascii="Arial" w:cs="Arial" w:eastAsia="Arial" w:hAnsi="Arial"/>
                <w:b w:val="1"/>
                <w:color w:val="000000"/>
                <w:sz w:val="20"/>
                <w:szCs w:val="20"/>
                <w:rtl w:val="0"/>
              </w:rPr>
              <w:t xml:space="preserve">Introducción</w:t>
            </w:r>
          </w:hyperlink>
          <w:hyperlink w:anchor="_heading=h.op8g06uavmoq">
            <w:r w:rsidDel="00000000" w:rsidR="00000000" w:rsidRPr="00000000">
              <w:rPr>
                <w:rFonts w:ascii="Arial" w:cs="Arial" w:eastAsia="Arial" w:hAnsi="Arial"/>
                <w:color w:val="000000"/>
                <w:sz w:val="20"/>
                <w:szCs w:val="20"/>
                <w:rtl w:val="0"/>
              </w:rPr>
              <w:tab/>
              <w:t xml:space="preserve">6</w:t>
            </w:r>
          </w:hyperlink>
          <w:r w:rsidDel="00000000" w:rsidR="00000000" w:rsidRPr="00000000">
            <w:rPr>
              <w:rtl w:val="0"/>
            </w:rPr>
          </w:r>
        </w:p>
        <w:p w:rsidR="00000000" w:rsidDel="00000000" w:rsidP="00000000" w:rsidRDefault="00000000" w:rsidRPr="00000000" w14:paraId="0000004E">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hyperlink w:anchor="_heading=h.ukdbv5c9153d">
            <w:r w:rsidDel="00000000" w:rsidR="00000000" w:rsidRPr="00000000">
              <w:rPr>
                <w:rFonts w:ascii="Arial" w:cs="Arial" w:eastAsia="Arial" w:hAnsi="Arial"/>
                <w:b w:val="1"/>
                <w:color w:val="000000"/>
                <w:sz w:val="20"/>
                <w:szCs w:val="20"/>
                <w:rtl w:val="0"/>
              </w:rPr>
              <w:t xml:space="preserve">Marco geoestadístico nacional</w:t>
            </w:r>
          </w:hyperlink>
          <w:hyperlink w:anchor="_heading=h.ukdbv5c9153d">
            <w:r w:rsidDel="00000000" w:rsidR="00000000" w:rsidRPr="00000000">
              <w:rPr>
                <w:rFonts w:ascii="Arial" w:cs="Arial" w:eastAsia="Arial" w:hAnsi="Arial"/>
                <w:color w:val="000000"/>
                <w:sz w:val="20"/>
                <w:szCs w:val="20"/>
                <w:rtl w:val="0"/>
              </w:rPr>
              <w:tab/>
              <w:t xml:space="preserve">7</w:t>
            </w:r>
          </w:hyperlink>
          <w:r w:rsidDel="00000000" w:rsidR="00000000" w:rsidRPr="00000000">
            <w:rPr>
              <w:rtl w:val="0"/>
            </w:rPr>
          </w:r>
        </w:p>
        <w:p w:rsidR="00000000" w:rsidDel="00000000" w:rsidP="00000000" w:rsidRDefault="00000000" w:rsidRPr="00000000" w14:paraId="0000004F">
          <w:pPr>
            <w:pBdr>
              <w:top w:space="0" w:sz="0" w:val="nil"/>
              <w:left w:space="0" w:sz="0" w:val="nil"/>
              <w:bottom w:space="0" w:sz="0" w:val="nil"/>
              <w:right w:space="0" w:sz="0" w:val="nil"/>
              <w:between w:space="0" w:sz="0" w:val="nil"/>
            </w:pBdr>
            <w:tabs>
              <w:tab w:val="right" w:leader="none" w:pos="8828"/>
            </w:tabs>
            <w:spacing w:after="100" w:lineRule="auto"/>
            <w:ind w:left="240" w:firstLine="0"/>
            <w:rPr>
              <w:rFonts w:ascii="Arial" w:cs="Arial" w:eastAsia="Arial" w:hAnsi="Arial"/>
              <w:color w:val="000000"/>
              <w:sz w:val="20"/>
              <w:szCs w:val="20"/>
            </w:rPr>
          </w:pPr>
          <w:hyperlink w:anchor="_heading=h.7yhjcdps1oow">
            <w:r w:rsidDel="00000000" w:rsidR="00000000" w:rsidRPr="00000000">
              <w:rPr>
                <w:rFonts w:ascii="Arial" w:cs="Arial" w:eastAsia="Arial" w:hAnsi="Arial"/>
                <w:color w:val="000000"/>
                <w:sz w:val="20"/>
                <w:szCs w:val="20"/>
                <w:rtl w:val="0"/>
              </w:rPr>
              <w:t xml:space="preserve">Marco geográfico</w:t>
              <w:tab/>
              <w:t xml:space="preserve">8</w:t>
            </w:r>
          </w:hyperlink>
          <w:r w:rsidDel="00000000" w:rsidR="00000000" w:rsidRPr="00000000">
            <w:rPr>
              <w:rtl w:val="0"/>
            </w:rPr>
          </w:r>
        </w:p>
        <w:p w:rsidR="00000000" w:rsidDel="00000000" w:rsidP="00000000" w:rsidRDefault="00000000" w:rsidRPr="00000000" w14:paraId="00000050">
          <w:pPr>
            <w:pBdr>
              <w:top w:space="0" w:sz="0" w:val="nil"/>
              <w:left w:space="0" w:sz="0" w:val="nil"/>
              <w:bottom w:space="0" w:sz="0" w:val="nil"/>
              <w:right w:space="0" w:sz="0" w:val="nil"/>
              <w:between w:space="0" w:sz="0" w:val="nil"/>
            </w:pBdr>
            <w:tabs>
              <w:tab w:val="right" w:leader="none" w:pos="8828"/>
            </w:tabs>
            <w:spacing w:after="100" w:lineRule="auto"/>
            <w:ind w:left="240" w:firstLine="0"/>
            <w:rPr>
              <w:rFonts w:ascii="Arial" w:cs="Arial" w:eastAsia="Arial" w:hAnsi="Arial"/>
              <w:color w:val="000000"/>
              <w:sz w:val="20"/>
              <w:szCs w:val="20"/>
            </w:rPr>
          </w:pPr>
          <w:hyperlink w:anchor="_heading=h.nbhe5invjl9i">
            <w:r w:rsidDel="00000000" w:rsidR="00000000" w:rsidRPr="00000000">
              <w:rPr>
                <w:rFonts w:ascii="Arial" w:cs="Arial" w:eastAsia="Arial" w:hAnsi="Arial"/>
                <w:color w:val="000000"/>
                <w:sz w:val="20"/>
                <w:szCs w:val="20"/>
                <w:rtl w:val="0"/>
              </w:rPr>
              <w:t xml:space="preserve">Superficie forestal de México</w:t>
              <w:tab/>
              <w:t xml:space="preserve">8</w:t>
            </w:r>
          </w:hyperlink>
          <w:r w:rsidDel="00000000" w:rsidR="00000000" w:rsidRPr="00000000">
            <w:rPr>
              <w:rtl w:val="0"/>
            </w:rPr>
          </w:r>
        </w:p>
        <w:p w:rsidR="00000000" w:rsidDel="00000000" w:rsidP="00000000" w:rsidRDefault="00000000" w:rsidRPr="00000000" w14:paraId="00000051">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hyperlink w:anchor="_heading=h.eez5wzykges3">
            <w:r w:rsidDel="00000000" w:rsidR="00000000" w:rsidRPr="00000000">
              <w:rPr>
                <w:rFonts w:ascii="Arial" w:cs="Arial" w:eastAsia="Arial" w:hAnsi="Arial"/>
                <w:b w:val="1"/>
                <w:color w:val="000000"/>
                <w:sz w:val="20"/>
                <w:szCs w:val="20"/>
                <w:rtl w:val="0"/>
              </w:rPr>
              <w:t xml:space="preserve">Mapa de áreas prioritarias de protección contra incendios forestales</w:t>
            </w:r>
          </w:hyperlink>
          <w:hyperlink w:anchor="_heading=h.eez5wzykges3">
            <w:r w:rsidDel="00000000" w:rsidR="00000000" w:rsidRPr="00000000">
              <w:rPr>
                <w:rFonts w:ascii="Arial" w:cs="Arial" w:eastAsia="Arial" w:hAnsi="Arial"/>
                <w:color w:val="000000"/>
                <w:sz w:val="20"/>
                <w:szCs w:val="20"/>
                <w:rtl w:val="0"/>
              </w:rPr>
              <w:tab/>
              <w:t xml:space="preserve">13</w:t>
            </w:r>
          </w:hyperlink>
          <w:r w:rsidDel="00000000" w:rsidR="00000000" w:rsidRPr="00000000">
            <w:rPr>
              <w:rtl w:val="0"/>
            </w:rPr>
          </w:r>
        </w:p>
        <w:p w:rsidR="00000000" w:rsidDel="00000000" w:rsidP="00000000" w:rsidRDefault="00000000" w:rsidRPr="00000000" w14:paraId="00000052">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hyperlink w:anchor="_heading=h.y5zqqcspp7w">
            <w:r w:rsidDel="00000000" w:rsidR="00000000" w:rsidRPr="00000000">
              <w:rPr>
                <w:rFonts w:ascii="Arial" w:cs="Arial" w:eastAsia="Arial" w:hAnsi="Arial"/>
                <w:b w:val="1"/>
                <w:color w:val="000000"/>
                <w:sz w:val="20"/>
                <w:szCs w:val="20"/>
                <w:rtl w:val="0"/>
              </w:rPr>
              <w:t xml:space="preserve">Componente de riesgo</w:t>
            </w:r>
          </w:hyperlink>
          <w:hyperlink w:anchor="_heading=h.y5zqqcspp7w">
            <w:r w:rsidDel="00000000" w:rsidR="00000000" w:rsidRPr="00000000">
              <w:rPr>
                <w:rFonts w:ascii="Arial" w:cs="Arial" w:eastAsia="Arial" w:hAnsi="Arial"/>
                <w:color w:val="000000"/>
                <w:sz w:val="20"/>
                <w:szCs w:val="20"/>
                <w:rtl w:val="0"/>
              </w:rPr>
              <w:tab/>
              <w:t xml:space="preserve">14</w:t>
            </w:r>
          </w:hyperlink>
          <w:r w:rsidDel="00000000" w:rsidR="00000000" w:rsidRPr="00000000">
            <w:rPr>
              <w:rtl w:val="0"/>
            </w:rPr>
          </w:r>
        </w:p>
        <w:p w:rsidR="00000000" w:rsidDel="00000000" w:rsidP="00000000" w:rsidRDefault="00000000" w:rsidRPr="00000000" w14:paraId="00000053">
          <w:pPr>
            <w:pBdr>
              <w:top w:space="0" w:sz="0" w:val="nil"/>
              <w:left w:space="0" w:sz="0" w:val="nil"/>
              <w:bottom w:space="0" w:sz="0" w:val="nil"/>
              <w:right w:space="0" w:sz="0" w:val="nil"/>
              <w:between w:space="0" w:sz="0" w:val="nil"/>
            </w:pBdr>
            <w:tabs>
              <w:tab w:val="right" w:leader="none" w:pos="8828"/>
            </w:tabs>
            <w:spacing w:after="100" w:lineRule="auto"/>
            <w:ind w:left="240" w:firstLine="0"/>
            <w:rPr>
              <w:rFonts w:ascii="Arial" w:cs="Arial" w:eastAsia="Arial" w:hAnsi="Arial"/>
              <w:color w:val="000000"/>
              <w:sz w:val="20"/>
              <w:szCs w:val="20"/>
            </w:rPr>
          </w:pPr>
          <w:hyperlink w:anchor="_heading=h.slaorsof2iz9">
            <w:r w:rsidDel="00000000" w:rsidR="00000000" w:rsidRPr="00000000">
              <w:rPr>
                <w:rFonts w:ascii="Arial" w:cs="Arial" w:eastAsia="Arial" w:hAnsi="Arial"/>
                <w:color w:val="000000"/>
                <w:sz w:val="20"/>
                <w:szCs w:val="20"/>
                <w:rtl w:val="0"/>
              </w:rPr>
              <w:t xml:space="preserve">Riesgo de ocurrencia de incendios por factores humanos y biomasa forestal</w:t>
              <w:tab/>
              <w:t xml:space="preserve">14</w:t>
            </w:r>
          </w:hyperlink>
          <w:r w:rsidDel="00000000" w:rsidR="00000000" w:rsidRPr="00000000">
            <w:rPr>
              <w:rtl w:val="0"/>
            </w:rPr>
          </w:r>
        </w:p>
        <w:p w:rsidR="00000000" w:rsidDel="00000000" w:rsidP="00000000" w:rsidRDefault="00000000" w:rsidRPr="00000000" w14:paraId="00000054">
          <w:pPr>
            <w:pBdr>
              <w:top w:space="0" w:sz="0" w:val="nil"/>
              <w:left w:space="0" w:sz="0" w:val="nil"/>
              <w:bottom w:space="0" w:sz="0" w:val="nil"/>
              <w:right w:space="0" w:sz="0" w:val="nil"/>
              <w:between w:space="0" w:sz="0" w:val="nil"/>
            </w:pBdr>
            <w:tabs>
              <w:tab w:val="right" w:leader="none" w:pos="8828"/>
            </w:tabs>
            <w:spacing w:after="100" w:lineRule="auto"/>
            <w:ind w:left="240" w:firstLine="0"/>
            <w:rPr>
              <w:rFonts w:ascii="Arial" w:cs="Arial" w:eastAsia="Arial" w:hAnsi="Arial"/>
              <w:color w:val="000000"/>
              <w:sz w:val="20"/>
              <w:szCs w:val="20"/>
            </w:rPr>
          </w:pPr>
          <w:hyperlink w:anchor="_heading=h.37ehqd5ukj5c">
            <w:r w:rsidDel="00000000" w:rsidR="00000000" w:rsidRPr="00000000">
              <w:rPr>
                <w:rFonts w:ascii="Arial" w:cs="Arial" w:eastAsia="Arial" w:hAnsi="Arial"/>
                <w:color w:val="000000"/>
                <w:sz w:val="20"/>
                <w:szCs w:val="20"/>
                <w:rtl w:val="0"/>
              </w:rPr>
              <w:t xml:space="preserve">Polígonos de incendios de 2010 a 2023</w:t>
              <w:tab/>
              <w:t xml:space="preserve">15</w:t>
            </w:r>
          </w:hyperlink>
          <w:r w:rsidDel="00000000" w:rsidR="00000000" w:rsidRPr="00000000">
            <w:rPr>
              <w:rtl w:val="0"/>
            </w:rPr>
          </w:r>
        </w:p>
        <w:p w:rsidR="00000000" w:rsidDel="00000000" w:rsidP="00000000" w:rsidRDefault="00000000" w:rsidRPr="00000000" w14:paraId="00000055">
          <w:pPr>
            <w:pBdr>
              <w:top w:space="0" w:sz="0" w:val="nil"/>
              <w:left w:space="0" w:sz="0" w:val="nil"/>
              <w:bottom w:space="0" w:sz="0" w:val="nil"/>
              <w:right w:space="0" w:sz="0" w:val="nil"/>
              <w:between w:space="0" w:sz="0" w:val="nil"/>
            </w:pBdr>
            <w:tabs>
              <w:tab w:val="right" w:leader="none" w:pos="8828"/>
            </w:tabs>
            <w:spacing w:after="100" w:lineRule="auto"/>
            <w:ind w:left="240" w:firstLine="0"/>
            <w:rPr>
              <w:rFonts w:ascii="Arial" w:cs="Arial" w:eastAsia="Arial" w:hAnsi="Arial"/>
              <w:color w:val="000000"/>
              <w:sz w:val="20"/>
              <w:szCs w:val="20"/>
            </w:rPr>
          </w:pPr>
          <w:hyperlink w:anchor="_heading=h.5mgen4c63thl">
            <w:r w:rsidDel="00000000" w:rsidR="00000000" w:rsidRPr="00000000">
              <w:rPr>
                <w:rFonts w:ascii="Arial" w:cs="Arial" w:eastAsia="Arial" w:hAnsi="Arial"/>
                <w:color w:val="000000"/>
                <w:sz w:val="20"/>
                <w:szCs w:val="20"/>
                <w:rtl w:val="0"/>
              </w:rPr>
              <w:t xml:space="preserve">Mapa del componente riesgo de ocurrencia por incendios forestales</w:t>
              <w:tab/>
              <w:t xml:space="preserve">16</w:t>
            </w:r>
          </w:hyperlink>
          <w:r w:rsidDel="00000000" w:rsidR="00000000" w:rsidRPr="00000000">
            <w:rPr>
              <w:rtl w:val="0"/>
            </w:rPr>
          </w:r>
        </w:p>
        <w:p w:rsidR="00000000" w:rsidDel="00000000" w:rsidP="00000000" w:rsidRDefault="00000000" w:rsidRPr="00000000" w14:paraId="00000056">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hyperlink w:anchor="_heading=h.kw1c1bp0cmtu">
            <w:r w:rsidDel="00000000" w:rsidR="00000000" w:rsidRPr="00000000">
              <w:rPr>
                <w:rFonts w:ascii="Arial" w:cs="Arial" w:eastAsia="Arial" w:hAnsi="Arial"/>
                <w:b w:val="1"/>
                <w:color w:val="000000"/>
                <w:sz w:val="20"/>
                <w:szCs w:val="20"/>
                <w:rtl w:val="0"/>
              </w:rPr>
              <w:t xml:space="preserve">Componente de peligro</w:t>
            </w:r>
          </w:hyperlink>
          <w:hyperlink w:anchor="_heading=h.kw1c1bp0cmtu">
            <w:r w:rsidDel="00000000" w:rsidR="00000000" w:rsidRPr="00000000">
              <w:rPr>
                <w:rFonts w:ascii="Arial" w:cs="Arial" w:eastAsia="Arial" w:hAnsi="Arial"/>
                <w:color w:val="000000"/>
                <w:sz w:val="20"/>
                <w:szCs w:val="20"/>
                <w:rtl w:val="0"/>
              </w:rPr>
              <w:tab/>
              <w:t xml:space="preserve">19</w:t>
            </w:r>
          </w:hyperlink>
          <w:r w:rsidDel="00000000" w:rsidR="00000000" w:rsidRPr="00000000">
            <w:rPr>
              <w:rtl w:val="0"/>
            </w:rPr>
          </w:r>
        </w:p>
        <w:p w:rsidR="00000000" w:rsidDel="00000000" w:rsidP="00000000" w:rsidRDefault="00000000" w:rsidRPr="00000000" w14:paraId="00000057">
          <w:pPr>
            <w:pBdr>
              <w:top w:space="0" w:sz="0" w:val="nil"/>
              <w:left w:space="0" w:sz="0" w:val="nil"/>
              <w:bottom w:space="0" w:sz="0" w:val="nil"/>
              <w:right w:space="0" w:sz="0" w:val="nil"/>
              <w:between w:space="0" w:sz="0" w:val="nil"/>
            </w:pBdr>
            <w:tabs>
              <w:tab w:val="right" w:leader="none" w:pos="8828"/>
            </w:tabs>
            <w:spacing w:after="100" w:lineRule="auto"/>
            <w:ind w:left="240" w:firstLine="0"/>
            <w:rPr>
              <w:rFonts w:ascii="Arial" w:cs="Arial" w:eastAsia="Arial" w:hAnsi="Arial"/>
              <w:color w:val="000000"/>
              <w:sz w:val="20"/>
              <w:szCs w:val="20"/>
            </w:rPr>
          </w:pPr>
          <w:hyperlink w:anchor="_heading=h.z6jx5itcst77">
            <w:r w:rsidDel="00000000" w:rsidR="00000000" w:rsidRPr="00000000">
              <w:rPr>
                <w:rFonts w:ascii="Arial" w:cs="Arial" w:eastAsia="Arial" w:hAnsi="Arial"/>
                <w:color w:val="000000"/>
                <w:sz w:val="20"/>
                <w:szCs w:val="20"/>
                <w:rtl w:val="0"/>
              </w:rPr>
              <w:t xml:space="preserve">Intensidad calórica esperada a nivel de biomasa forestal</w:t>
              <w:tab/>
              <w:t xml:space="preserve">19</w:t>
            </w:r>
          </w:hyperlink>
          <w:r w:rsidDel="00000000" w:rsidR="00000000" w:rsidRPr="00000000">
            <w:rPr>
              <w:rtl w:val="0"/>
            </w:rPr>
          </w:r>
        </w:p>
        <w:p w:rsidR="00000000" w:rsidDel="00000000" w:rsidP="00000000" w:rsidRDefault="00000000" w:rsidRPr="00000000" w14:paraId="00000058">
          <w:pPr>
            <w:pBdr>
              <w:top w:space="0" w:sz="0" w:val="nil"/>
              <w:left w:space="0" w:sz="0" w:val="nil"/>
              <w:bottom w:space="0" w:sz="0" w:val="nil"/>
              <w:right w:space="0" w:sz="0" w:val="nil"/>
              <w:between w:space="0" w:sz="0" w:val="nil"/>
            </w:pBdr>
            <w:tabs>
              <w:tab w:val="right" w:leader="none" w:pos="8828"/>
            </w:tabs>
            <w:spacing w:after="100" w:lineRule="auto"/>
            <w:ind w:left="240" w:firstLine="0"/>
            <w:rPr>
              <w:rFonts w:ascii="Arial" w:cs="Arial" w:eastAsia="Arial" w:hAnsi="Arial"/>
              <w:color w:val="000000"/>
              <w:sz w:val="20"/>
              <w:szCs w:val="20"/>
            </w:rPr>
          </w:pPr>
          <w:hyperlink w:anchor="_heading=h.scg0cfwsbbq3">
            <w:r w:rsidDel="00000000" w:rsidR="00000000" w:rsidRPr="00000000">
              <w:rPr>
                <w:rFonts w:ascii="Arial" w:cs="Arial" w:eastAsia="Arial" w:hAnsi="Arial"/>
                <w:color w:val="000000"/>
                <w:sz w:val="20"/>
                <w:szCs w:val="20"/>
                <w:rtl w:val="0"/>
              </w:rPr>
              <w:t xml:space="preserve">Mapa del componente peligro de incendios forestales</w:t>
              <w:tab/>
              <w:t xml:space="preserve">19</w:t>
            </w:r>
          </w:hyperlink>
          <w:r w:rsidDel="00000000" w:rsidR="00000000" w:rsidRPr="00000000">
            <w:rPr>
              <w:rtl w:val="0"/>
            </w:rPr>
          </w:r>
        </w:p>
        <w:p w:rsidR="00000000" w:rsidDel="00000000" w:rsidP="00000000" w:rsidRDefault="00000000" w:rsidRPr="00000000" w14:paraId="00000059">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hyperlink w:anchor="_heading=h.dcwg8pmt4wui">
            <w:r w:rsidDel="00000000" w:rsidR="00000000" w:rsidRPr="00000000">
              <w:rPr>
                <w:rFonts w:ascii="Arial" w:cs="Arial" w:eastAsia="Arial" w:hAnsi="Arial"/>
                <w:b w:val="1"/>
                <w:color w:val="000000"/>
                <w:sz w:val="20"/>
                <w:szCs w:val="20"/>
                <w:rtl w:val="0"/>
              </w:rPr>
              <w:t xml:space="preserve">Componente de valor</w:t>
            </w:r>
          </w:hyperlink>
          <w:hyperlink w:anchor="_heading=h.dcwg8pmt4wui">
            <w:r w:rsidDel="00000000" w:rsidR="00000000" w:rsidRPr="00000000">
              <w:rPr>
                <w:rFonts w:ascii="Arial" w:cs="Arial" w:eastAsia="Arial" w:hAnsi="Arial"/>
                <w:color w:val="000000"/>
                <w:sz w:val="20"/>
                <w:szCs w:val="20"/>
                <w:rtl w:val="0"/>
              </w:rPr>
              <w:tab/>
              <w:t xml:space="preserve">22</w:t>
            </w:r>
          </w:hyperlink>
          <w:r w:rsidDel="00000000" w:rsidR="00000000" w:rsidRPr="00000000">
            <w:rPr>
              <w:rtl w:val="0"/>
            </w:rPr>
          </w:r>
        </w:p>
        <w:p w:rsidR="00000000" w:rsidDel="00000000" w:rsidP="00000000" w:rsidRDefault="00000000" w:rsidRPr="00000000" w14:paraId="0000005A">
          <w:pPr>
            <w:pBdr>
              <w:top w:space="0" w:sz="0" w:val="nil"/>
              <w:left w:space="0" w:sz="0" w:val="nil"/>
              <w:bottom w:space="0" w:sz="0" w:val="nil"/>
              <w:right w:space="0" w:sz="0" w:val="nil"/>
              <w:between w:space="0" w:sz="0" w:val="nil"/>
            </w:pBdr>
            <w:tabs>
              <w:tab w:val="right" w:leader="none" w:pos="8828"/>
            </w:tabs>
            <w:spacing w:after="100" w:lineRule="auto"/>
            <w:ind w:left="240" w:firstLine="0"/>
            <w:rPr>
              <w:rFonts w:ascii="Arial" w:cs="Arial" w:eastAsia="Arial" w:hAnsi="Arial"/>
              <w:color w:val="000000"/>
              <w:sz w:val="20"/>
              <w:szCs w:val="20"/>
            </w:rPr>
          </w:pPr>
          <w:hyperlink w:anchor="_heading=h.2gb1d8jf0y95">
            <w:r w:rsidDel="00000000" w:rsidR="00000000" w:rsidRPr="00000000">
              <w:rPr>
                <w:rFonts w:ascii="Arial" w:cs="Arial" w:eastAsia="Arial" w:hAnsi="Arial"/>
                <w:b w:val="1"/>
                <w:color w:val="000000"/>
                <w:sz w:val="20"/>
                <w:szCs w:val="20"/>
                <w:rtl w:val="0"/>
              </w:rPr>
              <w:t xml:space="preserve">Criterio valor-ecológico</w:t>
            </w:r>
          </w:hyperlink>
          <w:hyperlink w:anchor="_heading=h.2gb1d8jf0y95">
            <w:r w:rsidDel="00000000" w:rsidR="00000000" w:rsidRPr="00000000">
              <w:rPr>
                <w:rFonts w:ascii="Arial" w:cs="Arial" w:eastAsia="Arial" w:hAnsi="Arial"/>
                <w:color w:val="000000"/>
                <w:sz w:val="20"/>
                <w:szCs w:val="20"/>
                <w:rtl w:val="0"/>
              </w:rPr>
              <w:tab/>
              <w:t xml:space="preserve">22</w:t>
            </w:r>
          </w:hyperlink>
          <w:r w:rsidDel="00000000" w:rsidR="00000000" w:rsidRPr="00000000">
            <w:rPr>
              <w:rtl w:val="0"/>
            </w:rPr>
          </w:r>
        </w:p>
        <w:p w:rsidR="00000000" w:rsidDel="00000000" w:rsidP="00000000" w:rsidRDefault="00000000" w:rsidRPr="00000000" w14:paraId="0000005B">
          <w:pPr>
            <w:pBdr>
              <w:top w:space="0" w:sz="0" w:val="nil"/>
              <w:left w:space="0" w:sz="0" w:val="nil"/>
              <w:bottom w:space="0" w:sz="0" w:val="nil"/>
              <w:right w:space="0" w:sz="0" w:val="nil"/>
              <w:between w:space="0" w:sz="0" w:val="nil"/>
            </w:pBdr>
            <w:tabs>
              <w:tab w:val="right" w:leader="none" w:pos="8828"/>
            </w:tabs>
            <w:spacing w:after="100" w:lineRule="auto"/>
            <w:ind w:left="480" w:firstLine="0"/>
            <w:rPr>
              <w:rFonts w:ascii="Arial" w:cs="Arial" w:eastAsia="Arial" w:hAnsi="Arial"/>
              <w:color w:val="000000"/>
              <w:sz w:val="20"/>
              <w:szCs w:val="20"/>
            </w:rPr>
          </w:pPr>
          <w:hyperlink w:anchor="_heading=h.ihtmcpve77zj">
            <w:r w:rsidDel="00000000" w:rsidR="00000000" w:rsidRPr="00000000">
              <w:rPr>
                <w:rFonts w:ascii="Arial" w:cs="Arial" w:eastAsia="Arial" w:hAnsi="Arial"/>
                <w:color w:val="000000"/>
                <w:sz w:val="20"/>
                <w:szCs w:val="20"/>
                <w:rtl w:val="0"/>
              </w:rPr>
              <w:t xml:space="preserve">Áreas Naturales Protegidas (ANP)</w:t>
              <w:tab/>
              <w:t xml:space="preserve">22</w:t>
            </w:r>
          </w:hyperlink>
          <w:r w:rsidDel="00000000" w:rsidR="00000000" w:rsidRPr="00000000">
            <w:rPr>
              <w:rtl w:val="0"/>
            </w:rPr>
          </w:r>
        </w:p>
        <w:p w:rsidR="00000000" w:rsidDel="00000000" w:rsidP="00000000" w:rsidRDefault="00000000" w:rsidRPr="00000000" w14:paraId="0000005C">
          <w:pPr>
            <w:pBdr>
              <w:top w:space="0" w:sz="0" w:val="nil"/>
              <w:left w:space="0" w:sz="0" w:val="nil"/>
              <w:bottom w:space="0" w:sz="0" w:val="nil"/>
              <w:right w:space="0" w:sz="0" w:val="nil"/>
              <w:between w:space="0" w:sz="0" w:val="nil"/>
            </w:pBdr>
            <w:tabs>
              <w:tab w:val="right" w:leader="none" w:pos="8828"/>
            </w:tabs>
            <w:spacing w:after="100" w:lineRule="auto"/>
            <w:ind w:left="480" w:firstLine="0"/>
            <w:rPr>
              <w:rFonts w:ascii="Arial" w:cs="Arial" w:eastAsia="Arial" w:hAnsi="Arial"/>
              <w:color w:val="000000"/>
              <w:sz w:val="20"/>
              <w:szCs w:val="20"/>
            </w:rPr>
          </w:pPr>
          <w:hyperlink w:anchor="_heading=h.94e48yfdubkj">
            <w:r w:rsidDel="00000000" w:rsidR="00000000" w:rsidRPr="00000000">
              <w:rPr>
                <w:rFonts w:ascii="Arial" w:cs="Arial" w:eastAsia="Arial" w:hAnsi="Arial"/>
                <w:color w:val="000000"/>
                <w:sz w:val="20"/>
                <w:szCs w:val="20"/>
                <w:rtl w:val="0"/>
              </w:rPr>
              <w:t xml:space="preserve">Áreas de Importancia para la Conservación de las Aves (AICAs)</w:t>
              <w:tab/>
              <w:t xml:space="preserve">23</w:t>
            </w:r>
          </w:hyperlink>
          <w:r w:rsidDel="00000000" w:rsidR="00000000" w:rsidRPr="00000000">
            <w:rPr>
              <w:rtl w:val="0"/>
            </w:rPr>
          </w:r>
        </w:p>
        <w:p w:rsidR="00000000" w:rsidDel="00000000" w:rsidP="00000000" w:rsidRDefault="00000000" w:rsidRPr="00000000" w14:paraId="0000005D">
          <w:pPr>
            <w:pBdr>
              <w:top w:space="0" w:sz="0" w:val="nil"/>
              <w:left w:space="0" w:sz="0" w:val="nil"/>
              <w:bottom w:space="0" w:sz="0" w:val="nil"/>
              <w:right w:space="0" w:sz="0" w:val="nil"/>
              <w:between w:space="0" w:sz="0" w:val="nil"/>
            </w:pBdr>
            <w:tabs>
              <w:tab w:val="right" w:leader="none" w:pos="8828"/>
            </w:tabs>
            <w:spacing w:after="100" w:lineRule="auto"/>
            <w:ind w:left="480" w:firstLine="0"/>
            <w:rPr>
              <w:rFonts w:ascii="Arial" w:cs="Arial" w:eastAsia="Arial" w:hAnsi="Arial"/>
              <w:color w:val="000000"/>
              <w:sz w:val="20"/>
              <w:szCs w:val="20"/>
            </w:rPr>
          </w:pPr>
          <w:hyperlink w:anchor="_heading=h.36n6guey6u9">
            <w:r w:rsidDel="00000000" w:rsidR="00000000" w:rsidRPr="00000000">
              <w:rPr>
                <w:rFonts w:ascii="Arial" w:cs="Arial" w:eastAsia="Arial" w:hAnsi="Arial"/>
                <w:color w:val="000000"/>
                <w:sz w:val="20"/>
                <w:szCs w:val="20"/>
                <w:rtl w:val="0"/>
              </w:rPr>
              <w:t xml:space="preserve">Áreas de humedales (RAMSAR)</w:t>
              <w:tab/>
              <w:t xml:space="preserve">24</w:t>
            </w:r>
          </w:hyperlink>
          <w:r w:rsidDel="00000000" w:rsidR="00000000" w:rsidRPr="00000000">
            <w:rPr>
              <w:rtl w:val="0"/>
            </w:rPr>
          </w:r>
        </w:p>
        <w:p w:rsidR="00000000" w:rsidDel="00000000" w:rsidP="00000000" w:rsidRDefault="00000000" w:rsidRPr="00000000" w14:paraId="0000005E">
          <w:pPr>
            <w:pBdr>
              <w:top w:space="0" w:sz="0" w:val="nil"/>
              <w:left w:space="0" w:sz="0" w:val="nil"/>
              <w:bottom w:space="0" w:sz="0" w:val="nil"/>
              <w:right w:space="0" w:sz="0" w:val="nil"/>
              <w:between w:space="0" w:sz="0" w:val="nil"/>
            </w:pBdr>
            <w:tabs>
              <w:tab w:val="right" w:leader="none" w:pos="8828"/>
            </w:tabs>
            <w:spacing w:after="100" w:lineRule="auto"/>
            <w:ind w:left="480" w:firstLine="0"/>
            <w:rPr>
              <w:rFonts w:ascii="Arial" w:cs="Arial" w:eastAsia="Arial" w:hAnsi="Arial"/>
              <w:color w:val="000000"/>
              <w:sz w:val="20"/>
              <w:szCs w:val="20"/>
            </w:rPr>
          </w:pPr>
          <w:hyperlink w:anchor="_heading=h.6045e9w41j13">
            <w:r w:rsidDel="00000000" w:rsidR="00000000" w:rsidRPr="00000000">
              <w:rPr>
                <w:rFonts w:ascii="Arial" w:cs="Arial" w:eastAsia="Arial" w:hAnsi="Arial"/>
                <w:color w:val="000000"/>
                <w:sz w:val="20"/>
                <w:szCs w:val="20"/>
                <w:rtl w:val="0"/>
              </w:rPr>
              <w:t xml:space="preserve">Clase de respuesta al fuego de acuerdo con el tipo de vegetación</w:t>
              <w:tab/>
              <w:t xml:space="preserve">25</w:t>
            </w:r>
          </w:hyperlink>
          <w:r w:rsidDel="00000000" w:rsidR="00000000" w:rsidRPr="00000000">
            <w:rPr>
              <w:rtl w:val="0"/>
            </w:rPr>
          </w:r>
        </w:p>
        <w:p w:rsidR="00000000" w:rsidDel="00000000" w:rsidP="00000000" w:rsidRDefault="00000000" w:rsidRPr="00000000" w14:paraId="0000005F">
          <w:pPr>
            <w:pBdr>
              <w:top w:space="0" w:sz="0" w:val="nil"/>
              <w:left w:space="0" w:sz="0" w:val="nil"/>
              <w:bottom w:space="0" w:sz="0" w:val="nil"/>
              <w:right w:space="0" w:sz="0" w:val="nil"/>
              <w:between w:space="0" w:sz="0" w:val="nil"/>
            </w:pBdr>
            <w:tabs>
              <w:tab w:val="right" w:leader="none" w:pos="8828"/>
            </w:tabs>
            <w:spacing w:after="100" w:lineRule="auto"/>
            <w:ind w:left="480" w:firstLine="0"/>
            <w:rPr>
              <w:rFonts w:ascii="Arial" w:cs="Arial" w:eastAsia="Arial" w:hAnsi="Arial"/>
              <w:color w:val="000000"/>
              <w:sz w:val="20"/>
              <w:szCs w:val="20"/>
            </w:rPr>
          </w:pPr>
          <w:hyperlink w:anchor="_heading=h.8g7hhnqbz09q">
            <w:r w:rsidDel="00000000" w:rsidR="00000000" w:rsidRPr="00000000">
              <w:rPr>
                <w:rFonts w:ascii="Arial" w:cs="Arial" w:eastAsia="Arial" w:hAnsi="Arial"/>
                <w:b w:val="1"/>
                <w:color w:val="000000"/>
                <w:sz w:val="20"/>
                <w:szCs w:val="20"/>
                <w:rtl w:val="0"/>
              </w:rPr>
              <w:t xml:space="preserve">Mapa del criterio valor-ecológico</w:t>
            </w:r>
          </w:hyperlink>
          <w:hyperlink w:anchor="_heading=h.8g7hhnqbz09q">
            <w:r w:rsidDel="00000000" w:rsidR="00000000" w:rsidRPr="00000000">
              <w:rPr>
                <w:rFonts w:ascii="Arial" w:cs="Arial" w:eastAsia="Arial" w:hAnsi="Arial"/>
                <w:color w:val="000000"/>
                <w:sz w:val="20"/>
                <w:szCs w:val="20"/>
                <w:rtl w:val="0"/>
              </w:rPr>
              <w:tab/>
              <w:t xml:space="preserve">27</w:t>
            </w:r>
          </w:hyperlink>
          <w:r w:rsidDel="00000000" w:rsidR="00000000" w:rsidRPr="00000000">
            <w:rPr>
              <w:rtl w:val="0"/>
            </w:rPr>
          </w:r>
        </w:p>
        <w:p w:rsidR="00000000" w:rsidDel="00000000" w:rsidP="00000000" w:rsidRDefault="00000000" w:rsidRPr="00000000" w14:paraId="00000060">
          <w:pPr>
            <w:pBdr>
              <w:top w:space="0" w:sz="0" w:val="nil"/>
              <w:left w:space="0" w:sz="0" w:val="nil"/>
              <w:bottom w:space="0" w:sz="0" w:val="nil"/>
              <w:right w:space="0" w:sz="0" w:val="nil"/>
              <w:between w:space="0" w:sz="0" w:val="nil"/>
            </w:pBdr>
            <w:tabs>
              <w:tab w:val="right" w:leader="none" w:pos="8828"/>
            </w:tabs>
            <w:spacing w:after="100" w:lineRule="auto"/>
            <w:ind w:left="240" w:firstLine="0"/>
            <w:rPr>
              <w:rFonts w:ascii="Arial" w:cs="Arial" w:eastAsia="Arial" w:hAnsi="Arial"/>
              <w:color w:val="000000"/>
              <w:sz w:val="20"/>
              <w:szCs w:val="20"/>
            </w:rPr>
          </w:pPr>
          <w:hyperlink w:anchor="_heading=h.w9qxd7sl8m1c">
            <w:r w:rsidDel="00000000" w:rsidR="00000000" w:rsidRPr="00000000">
              <w:rPr>
                <w:rFonts w:ascii="Arial" w:cs="Arial" w:eastAsia="Arial" w:hAnsi="Arial"/>
                <w:b w:val="1"/>
                <w:color w:val="000000"/>
                <w:sz w:val="20"/>
                <w:szCs w:val="20"/>
                <w:rtl w:val="0"/>
              </w:rPr>
              <w:t xml:space="preserve">Criterio valor-sociocultural</w:t>
            </w:r>
          </w:hyperlink>
          <w:hyperlink w:anchor="_heading=h.w9qxd7sl8m1c">
            <w:r w:rsidDel="00000000" w:rsidR="00000000" w:rsidRPr="00000000">
              <w:rPr>
                <w:rFonts w:ascii="Arial" w:cs="Arial" w:eastAsia="Arial" w:hAnsi="Arial"/>
                <w:color w:val="000000"/>
                <w:sz w:val="20"/>
                <w:szCs w:val="20"/>
                <w:rtl w:val="0"/>
              </w:rPr>
              <w:tab/>
              <w:t xml:space="preserve">28</w:t>
            </w:r>
          </w:hyperlink>
          <w:r w:rsidDel="00000000" w:rsidR="00000000" w:rsidRPr="00000000">
            <w:rPr>
              <w:rtl w:val="0"/>
            </w:rPr>
          </w:r>
        </w:p>
        <w:p w:rsidR="00000000" w:rsidDel="00000000" w:rsidP="00000000" w:rsidRDefault="00000000" w:rsidRPr="00000000" w14:paraId="00000061">
          <w:pPr>
            <w:pBdr>
              <w:top w:space="0" w:sz="0" w:val="nil"/>
              <w:left w:space="0" w:sz="0" w:val="nil"/>
              <w:bottom w:space="0" w:sz="0" w:val="nil"/>
              <w:right w:space="0" w:sz="0" w:val="nil"/>
              <w:between w:space="0" w:sz="0" w:val="nil"/>
            </w:pBdr>
            <w:tabs>
              <w:tab w:val="right" w:leader="none" w:pos="8828"/>
            </w:tabs>
            <w:spacing w:after="100" w:lineRule="auto"/>
            <w:ind w:left="480" w:firstLine="0"/>
            <w:rPr>
              <w:rFonts w:ascii="Arial" w:cs="Arial" w:eastAsia="Arial" w:hAnsi="Arial"/>
              <w:color w:val="000000"/>
              <w:sz w:val="20"/>
              <w:szCs w:val="20"/>
            </w:rPr>
          </w:pPr>
          <w:hyperlink w:anchor="_heading=h.42xmlhyjgkgz">
            <w:r w:rsidDel="00000000" w:rsidR="00000000" w:rsidRPr="00000000">
              <w:rPr>
                <w:rFonts w:ascii="Arial" w:cs="Arial" w:eastAsia="Arial" w:hAnsi="Arial"/>
                <w:color w:val="000000"/>
                <w:sz w:val="20"/>
                <w:szCs w:val="20"/>
                <w:rtl w:val="0"/>
              </w:rPr>
              <w:t xml:space="preserve">Presencia de población indígena por municipio</w:t>
              <w:tab/>
              <w:t xml:space="preserve">28</w:t>
            </w:r>
          </w:hyperlink>
          <w:r w:rsidDel="00000000" w:rsidR="00000000" w:rsidRPr="00000000">
            <w:rPr>
              <w:rtl w:val="0"/>
            </w:rPr>
          </w:r>
        </w:p>
        <w:p w:rsidR="00000000" w:rsidDel="00000000" w:rsidP="00000000" w:rsidRDefault="00000000" w:rsidRPr="00000000" w14:paraId="00000062">
          <w:pPr>
            <w:pBdr>
              <w:top w:space="0" w:sz="0" w:val="nil"/>
              <w:left w:space="0" w:sz="0" w:val="nil"/>
              <w:bottom w:space="0" w:sz="0" w:val="nil"/>
              <w:right w:space="0" w:sz="0" w:val="nil"/>
              <w:between w:space="0" w:sz="0" w:val="nil"/>
            </w:pBdr>
            <w:tabs>
              <w:tab w:val="right" w:leader="none" w:pos="8828"/>
            </w:tabs>
            <w:spacing w:after="100" w:lineRule="auto"/>
            <w:ind w:left="480" w:firstLine="0"/>
            <w:rPr>
              <w:rFonts w:ascii="Arial" w:cs="Arial" w:eastAsia="Arial" w:hAnsi="Arial"/>
              <w:color w:val="000000"/>
              <w:sz w:val="20"/>
              <w:szCs w:val="20"/>
            </w:rPr>
          </w:pPr>
          <w:hyperlink w:anchor="_heading=h.n2icszaxp8ip">
            <w:r w:rsidDel="00000000" w:rsidR="00000000" w:rsidRPr="00000000">
              <w:rPr>
                <w:rFonts w:ascii="Arial" w:cs="Arial" w:eastAsia="Arial" w:hAnsi="Arial"/>
                <w:color w:val="000000"/>
                <w:sz w:val="20"/>
                <w:szCs w:val="20"/>
                <w:rtl w:val="0"/>
              </w:rPr>
              <w:t xml:space="preserve">Pobreza multidimensional por municipio</w:t>
              <w:tab/>
              <w:t xml:space="preserve">29</w:t>
            </w:r>
          </w:hyperlink>
          <w:r w:rsidDel="00000000" w:rsidR="00000000" w:rsidRPr="00000000">
            <w:rPr>
              <w:rtl w:val="0"/>
            </w:rPr>
          </w:r>
        </w:p>
        <w:p w:rsidR="00000000" w:rsidDel="00000000" w:rsidP="00000000" w:rsidRDefault="00000000" w:rsidRPr="00000000" w14:paraId="00000063">
          <w:pPr>
            <w:pBdr>
              <w:top w:space="0" w:sz="0" w:val="nil"/>
              <w:left w:space="0" w:sz="0" w:val="nil"/>
              <w:bottom w:space="0" w:sz="0" w:val="nil"/>
              <w:right w:space="0" w:sz="0" w:val="nil"/>
              <w:between w:space="0" w:sz="0" w:val="nil"/>
            </w:pBdr>
            <w:tabs>
              <w:tab w:val="right" w:leader="none" w:pos="8828"/>
            </w:tabs>
            <w:spacing w:after="100" w:lineRule="auto"/>
            <w:ind w:left="480" w:firstLine="0"/>
            <w:rPr>
              <w:rFonts w:ascii="Arial" w:cs="Arial" w:eastAsia="Arial" w:hAnsi="Arial"/>
              <w:color w:val="000000"/>
              <w:sz w:val="20"/>
              <w:szCs w:val="20"/>
            </w:rPr>
          </w:pPr>
          <w:hyperlink w:anchor="_heading=h.7drbyacb9z7u">
            <w:r w:rsidDel="00000000" w:rsidR="00000000" w:rsidRPr="00000000">
              <w:rPr>
                <w:rFonts w:ascii="Arial" w:cs="Arial" w:eastAsia="Arial" w:hAnsi="Arial"/>
                <w:color w:val="000000"/>
                <w:sz w:val="20"/>
                <w:szCs w:val="20"/>
                <w:rtl w:val="0"/>
              </w:rPr>
              <w:t xml:space="preserve">Incidencia delictiva por municipio.</w:t>
              <w:tab/>
              <w:t xml:space="preserve">30</w:t>
            </w:r>
          </w:hyperlink>
          <w:r w:rsidDel="00000000" w:rsidR="00000000" w:rsidRPr="00000000">
            <w:rPr>
              <w:rtl w:val="0"/>
            </w:rPr>
          </w:r>
        </w:p>
        <w:p w:rsidR="00000000" w:rsidDel="00000000" w:rsidP="00000000" w:rsidRDefault="00000000" w:rsidRPr="00000000" w14:paraId="00000064">
          <w:pPr>
            <w:pBdr>
              <w:top w:space="0" w:sz="0" w:val="nil"/>
              <w:left w:space="0" w:sz="0" w:val="nil"/>
              <w:bottom w:space="0" w:sz="0" w:val="nil"/>
              <w:right w:space="0" w:sz="0" w:val="nil"/>
              <w:between w:space="0" w:sz="0" w:val="nil"/>
            </w:pBdr>
            <w:tabs>
              <w:tab w:val="right" w:leader="none" w:pos="8828"/>
            </w:tabs>
            <w:spacing w:after="100" w:lineRule="auto"/>
            <w:ind w:left="480" w:firstLine="0"/>
            <w:rPr>
              <w:rFonts w:ascii="Arial" w:cs="Arial" w:eastAsia="Arial" w:hAnsi="Arial"/>
              <w:color w:val="000000"/>
              <w:sz w:val="20"/>
              <w:szCs w:val="20"/>
            </w:rPr>
          </w:pPr>
          <w:hyperlink w:anchor="_heading=h.8f4hd0toidpe">
            <w:r w:rsidDel="00000000" w:rsidR="00000000" w:rsidRPr="00000000">
              <w:rPr>
                <w:rFonts w:ascii="Arial" w:cs="Arial" w:eastAsia="Arial" w:hAnsi="Arial"/>
                <w:b w:val="1"/>
                <w:color w:val="000000"/>
                <w:sz w:val="20"/>
                <w:szCs w:val="20"/>
                <w:rtl w:val="0"/>
              </w:rPr>
              <w:t xml:space="preserve">Mapa del criterio valor-sociocultural.</w:t>
            </w:r>
          </w:hyperlink>
          <w:hyperlink w:anchor="_heading=h.8f4hd0toidpe">
            <w:r w:rsidDel="00000000" w:rsidR="00000000" w:rsidRPr="00000000">
              <w:rPr>
                <w:rFonts w:ascii="Arial" w:cs="Arial" w:eastAsia="Arial" w:hAnsi="Arial"/>
                <w:color w:val="000000"/>
                <w:sz w:val="20"/>
                <w:szCs w:val="20"/>
                <w:rtl w:val="0"/>
              </w:rPr>
              <w:tab/>
              <w:t xml:space="preserve">32</w:t>
            </w:r>
          </w:hyperlink>
          <w:r w:rsidDel="00000000" w:rsidR="00000000" w:rsidRPr="00000000">
            <w:rPr>
              <w:rtl w:val="0"/>
            </w:rPr>
          </w:r>
        </w:p>
        <w:p w:rsidR="00000000" w:rsidDel="00000000" w:rsidP="00000000" w:rsidRDefault="00000000" w:rsidRPr="00000000" w14:paraId="00000065">
          <w:pPr>
            <w:pBdr>
              <w:top w:space="0" w:sz="0" w:val="nil"/>
              <w:left w:space="0" w:sz="0" w:val="nil"/>
              <w:bottom w:space="0" w:sz="0" w:val="nil"/>
              <w:right w:space="0" w:sz="0" w:val="nil"/>
              <w:between w:space="0" w:sz="0" w:val="nil"/>
            </w:pBdr>
            <w:tabs>
              <w:tab w:val="right" w:leader="none" w:pos="8828"/>
            </w:tabs>
            <w:spacing w:after="100" w:lineRule="auto"/>
            <w:ind w:left="240" w:firstLine="0"/>
            <w:rPr>
              <w:rFonts w:ascii="Arial" w:cs="Arial" w:eastAsia="Arial" w:hAnsi="Arial"/>
              <w:color w:val="000000"/>
              <w:sz w:val="20"/>
              <w:szCs w:val="20"/>
            </w:rPr>
          </w:pPr>
          <w:hyperlink w:anchor="_heading=h.9g7egi44zgl6">
            <w:r w:rsidDel="00000000" w:rsidR="00000000" w:rsidRPr="00000000">
              <w:rPr>
                <w:rFonts w:ascii="Arial" w:cs="Arial" w:eastAsia="Arial" w:hAnsi="Arial"/>
                <w:b w:val="1"/>
                <w:color w:val="000000"/>
                <w:sz w:val="20"/>
                <w:szCs w:val="20"/>
                <w:rtl w:val="0"/>
              </w:rPr>
              <w:t xml:space="preserve">Criterio valor-económico.</w:t>
            </w:r>
          </w:hyperlink>
          <w:hyperlink w:anchor="_heading=h.9g7egi44zgl6">
            <w:r w:rsidDel="00000000" w:rsidR="00000000" w:rsidRPr="00000000">
              <w:rPr>
                <w:rFonts w:ascii="Arial" w:cs="Arial" w:eastAsia="Arial" w:hAnsi="Arial"/>
                <w:color w:val="000000"/>
                <w:sz w:val="20"/>
                <w:szCs w:val="20"/>
                <w:rtl w:val="0"/>
              </w:rPr>
              <w:tab/>
              <w:t xml:space="preserve">32</w:t>
            </w:r>
          </w:hyperlink>
          <w:r w:rsidDel="00000000" w:rsidR="00000000" w:rsidRPr="00000000">
            <w:rPr>
              <w:rtl w:val="0"/>
            </w:rPr>
          </w:r>
        </w:p>
        <w:p w:rsidR="00000000" w:rsidDel="00000000" w:rsidP="00000000" w:rsidRDefault="00000000" w:rsidRPr="00000000" w14:paraId="00000066">
          <w:pPr>
            <w:pBdr>
              <w:top w:space="0" w:sz="0" w:val="nil"/>
              <w:left w:space="0" w:sz="0" w:val="nil"/>
              <w:bottom w:space="0" w:sz="0" w:val="nil"/>
              <w:right w:space="0" w:sz="0" w:val="nil"/>
              <w:between w:space="0" w:sz="0" w:val="nil"/>
            </w:pBdr>
            <w:tabs>
              <w:tab w:val="right" w:leader="none" w:pos="8828"/>
            </w:tabs>
            <w:spacing w:after="100" w:lineRule="auto"/>
            <w:ind w:left="480" w:firstLine="0"/>
            <w:rPr>
              <w:rFonts w:ascii="Arial" w:cs="Arial" w:eastAsia="Arial" w:hAnsi="Arial"/>
              <w:color w:val="000000"/>
              <w:sz w:val="20"/>
              <w:szCs w:val="20"/>
            </w:rPr>
          </w:pPr>
          <w:hyperlink w:anchor="_heading=h.59o53u5i4ihn">
            <w:r w:rsidDel="00000000" w:rsidR="00000000" w:rsidRPr="00000000">
              <w:rPr>
                <w:rFonts w:ascii="Arial" w:cs="Arial" w:eastAsia="Arial" w:hAnsi="Arial"/>
                <w:color w:val="000000"/>
                <w:sz w:val="20"/>
                <w:szCs w:val="20"/>
                <w:rtl w:val="0"/>
              </w:rPr>
              <w:t xml:space="preserve">Predios bajo manejo forestal sustentable 2013-2024.</w:t>
              <w:tab/>
              <w:t xml:space="preserve">33</w:t>
            </w:r>
          </w:hyperlink>
          <w:r w:rsidDel="00000000" w:rsidR="00000000" w:rsidRPr="00000000">
            <w:rPr>
              <w:rtl w:val="0"/>
            </w:rPr>
          </w:r>
        </w:p>
        <w:p w:rsidR="00000000" w:rsidDel="00000000" w:rsidP="00000000" w:rsidRDefault="00000000" w:rsidRPr="00000000" w14:paraId="00000067">
          <w:pPr>
            <w:pBdr>
              <w:top w:space="0" w:sz="0" w:val="nil"/>
              <w:left w:space="0" w:sz="0" w:val="nil"/>
              <w:bottom w:space="0" w:sz="0" w:val="nil"/>
              <w:right w:space="0" w:sz="0" w:val="nil"/>
              <w:between w:space="0" w:sz="0" w:val="nil"/>
            </w:pBdr>
            <w:tabs>
              <w:tab w:val="right" w:leader="none" w:pos="8828"/>
            </w:tabs>
            <w:spacing w:after="100" w:lineRule="auto"/>
            <w:ind w:left="480" w:firstLine="0"/>
            <w:rPr>
              <w:rFonts w:ascii="Arial" w:cs="Arial" w:eastAsia="Arial" w:hAnsi="Arial"/>
              <w:color w:val="000000"/>
              <w:sz w:val="20"/>
              <w:szCs w:val="20"/>
            </w:rPr>
          </w:pPr>
          <w:hyperlink w:anchor="_heading=h.p12ukao8ystz">
            <w:r w:rsidDel="00000000" w:rsidR="00000000" w:rsidRPr="00000000">
              <w:rPr>
                <w:rFonts w:ascii="Arial" w:cs="Arial" w:eastAsia="Arial" w:hAnsi="Arial"/>
                <w:color w:val="000000"/>
                <w:sz w:val="20"/>
                <w:szCs w:val="20"/>
                <w:rtl w:val="0"/>
              </w:rPr>
              <w:t xml:space="preserve">Importancia económica por tipo de vegetación.</w:t>
              <w:tab/>
              <w:t xml:space="preserve">33</w:t>
            </w:r>
          </w:hyperlink>
          <w:r w:rsidDel="00000000" w:rsidR="00000000" w:rsidRPr="00000000">
            <w:rPr>
              <w:rtl w:val="0"/>
            </w:rPr>
          </w:r>
        </w:p>
        <w:p w:rsidR="00000000" w:rsidDel="00000000" w:rsidP="00000000" w:rsidRDefault="00000000" w:rsidRPr="00000000" w14:paraId="00000068">
          <w:pPr>
            <w:pBdr>
              <w:top w:space="0" w:sz="0" w:val="nil"/>
              <w:left w:space="0" w:sz="0" w:val="nil"/>
              <w:bottom w:space="0" w:sz="0" w:val="nil"/>
              <w:right w:space="0" w:sz="0" w:val="nil"/>
              <w:between w:space="0" w:sz="0" w:val="nil"/>
            </w:pBdr>
            <w:tabs>
              <w:tab w:val="right" w:leader="none" w:pos="8828"/>
            </w:tabs>
            <w:spacing w:after="100" w:lineRule="auto"/>
            <w:ind w:left="240" w:firstLine="0"/>
            <w:rPr>
              <w:rFonts w:ascii="Arial" w:cs="Arial" w:eastAsia="Arial" w:hAnsi="Arial"/>
              <w:color w:val="000000"/>
              <w:sz w:val="20"/>
              <w:szCs w:val="20"/>
            </w:rPr>
          </w:pPr>
          <w:hyperlink w:anchor="_heading=h.rdfw7sj1fvzf">
            <w:r w:rsidDel="00000000" w:rsidR="00000000" w:rsidRPr="00000000">
              <w:rPr>
                <w:rFonts w:ascii="Arial" w:cs="Arial" w:eastAsia="Arial" w:hAnsi="Arial"/>
                <w:b w:val="1"/>
                <w:color w:val="000000"/>
                <w:sz w:val="20"/>
                <w:szCs w:val="20"/>
                <w:rtl w:val="0"/>
              </w:rPr>
              <w:t xml:space="preserve">Mapa del criterio valor-económico.</w:t>
            </w:r>
          </w:hyperlink>
          <w:hyperlink w:anchor="_heading=h.rdfw7sj1fvzf">
            <w:r w:rsidDel="00000000" w:rsidR="00000000" w:rsidRPr="00000000">
              <w:rPr>
                <w:rFonts w:ascii="Arial" w:cs="Arial" w:eastAsia="Arial" w:hAnsi="Arial"/>
                <w:color w:val="000000"/>
                <w:sz w:val="20"/>
                <w:szCs w:val="20"/>
                <w:rtl w:val="0"/>
              </w:rPr>
              <w:tab/>
              <w:t xml:space="preserve">35</w:t>
            </w:r>
          </w:hyperlink>
          <w:r w:rsidDel="00000000" w:rsidR="00000000" w:rsidRPr="00000000">
            <w:rPr>
              <w:rtl w:val="0"/>
            </w:rPr>
          </w:r>
        </w:p>
        <w:p w:rsidR="00000000" w:rsidDel="00000000" w:rsidP="00000000" w:rsidRDefault="00000000" w:rsidRPr="00000000" w14:paraId="00000069">
          <w:pPr>
            <w:pBdr>
              <w:top w:space="0" w:sz="0" w:val="nil"/>
              <w:left w:space="0" w:sz="0" w:val="nil"/>
              <w:bottom w:space="0" w:sz="0" w:val="nil"/>
              <w:right w:space="0" w:sz="0" w:val="nil"/>
              <w:between w:space="0" w:sz="0" w:val="nil"/>
            </w:pBdr>
            <w:tabs>
              <w:tab w:val="right" w:leader="none" w:pos="8828"/>
            </w:tabs>
            <w:spacing w:after="100" w:lineRule="auto"/>
            <w:ind w:left="240" w:firstLine="0"/>
            <w:rPr>
              <w:rFonts w:ascii="Arial" w:cs="Arial" w:eastAsia="Arial" w:hAnsi="Arial"/>
              <w:color w:val="000000"/>
              <w:sz w:val="20"/>
              <w:szCs w:val="20"/>
            </w:rPr>
          </w:pPr>
          <w:hyperlink w:anchor="_heading=h.bjqn8u9a8tmz">
            <w:r w:rsidDel="00000000" w:rsidR="00000000" w:rsidRPr="00000000">
              <w:rPr>
                <w:rFonts w:ascii="Arial" w:cs="Arial" w:eastAsia="Arial" w:hAnsi="Arial"/>
                <w:b w:val="1"/>
                <w:color w:val="000000"/>
                <w:sz w:val="20"/>
                <w:szCs w:val="20"/>
                <w:rtl w:val="0"/>
              </w:rPr>
              <w:t xml:space="preserve">Mapa del componente valor ponderado</w:t>
            </w:r>
          </w:hyperlink>
          <w:hyperlink w:anchor="_heading=h.bjqn8u9a8tmz">
            <w:r w:rsidDel="00000000" w:rsidR="00000000" w:rsidRPr="00000000">
              <w:rPr>
                <w:rFonts w:ascii="Arial" w:cs="Arial" w:eastAsia="Arial" w:hAnsi="Arial"/>
                <w:color w:val="000000"/>
                <w:sz w:val="20"/>
                <w:szCs w:val="20"/>
                <w:rtl w:val="0"/>
              </w:rPr>
              <w:tab/>
              <w:t xml:space="preserve">35</w:t>
            </w:r>
          </w:hyperlink>
          <w:r w:rsidDel="00000000" w:rsidR="00000000" w:rsidRPr="00000000">
            <w:rPr>
              <w:rtl w:val="0"/>
            </w:rPr>
          </w:r>
        </w:p>
        <w:p w:rsidR="00000000" w:rsidDel="00000000" w:rsidP="00000000" w:rsidRDefault="00000000" w:rsidRPr="00000000" w14:paraId="0000006A">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hyperlink w:anchor="_heading=h.nfqv46l6ybww">
            <w:r w:rsidDel="00000000" w:rsidR="00000000" w:rsidRPr="00000000">
              <w:rPr>
                <w:rFonts w:ascii="Arial" w:cs="Arial" w:eastAsia="Arial" w:hAnsi="Arial"/>
                <w:b w:val="1"/>
                <w:color w:val="000000"/>
                <w:sz w:val="20"/>
                <w:szCs w:val="20"/>
                <w:rtl w:val="0"/>
              </w:rPr>
              <w:t xml:space="preserve">Mapa de áreas prioritarias contra incendios forestales</w:t>
            </w:r>
          </w:hyperlink>
          <w:hyperlink w:anchor="_heading=h.nfqv46l6ybww">
            <w:r w:rsidDel="00000000" w:rsidR="00000000" w:rsidRPr="00000000">
              <w:rPr>
                <w:rFonts w:ascii="Arial" w:cs="Arial" w:eastAsia="Arial" w:hAnsi="Arial"/>
                <w:color w:val="000000"/>
                <w:sz w:val="20"/>
                <w:szCs w:val="20"/>
                <w:rtl w:val="0"/>
              </w:rPr>
              <w:tab/>
              <w:t xml:space="preserve">39</w:t>
            </w:r>
          </w:hyperlink>
          <w:r w:rsidDel="00000000" w:rsidR="00000000" w:rsidRPr="00000000">
            <w:rPr>
              <w:rtl w:val="0"/>
            </w:rPr>
          </w:r>
        </w:p>
        <w:p w:rsidR="00000000" w:rsidDel="00000000" w:rsidP="00000000" w:rsidRDefault="00000000" w:rsidRPr="00000000" w14:paraId="0000006B">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hyperlink w:anchor="_heading=h.w9k2ywz5zxqp">
            <w:r w:rsidDel="00000000" w:rsidR="00000000" w:rsidRPr="00000000">
              <w:rPr>
                <w:rFonts w:ascii="Arial" w:cs="Arial" w:eastAsia="Arial" w:hAnsi="Arial"/>
                <w:b w:val="1"/>
                <w:color w:val="000000"/>
                <w:sz w:val="20"/>
                <w:szCs w:val="20"/>
                <w:rtl w:val="0"/>
              </w:rPr>
              <w:t xml:space="preserve">Conclusiones y recomendaciones</w:t>
            </w:r>
          </w:hyperlink>
          <w:hyperlink w:anchor="_heading=h.w9k2ywz5zxqp">
            <w:r w:rsidDel="00000000" w:rsidR="00000000" w:rsidRPr="00000000">
              <w:rPr>
                <w:rFonts w:ascii="Arial" w:cs="Arial" w:eastAsia="Arial" w:hAnsi="Arial"/>
                <w:color w:val="000000"/>
                <w:sz w:val="20"/>
                <w:szCs w:val="20"/>
                <w:rtl w:val="0"/>
              </w:rPr>
              <w:tab/>
              <w:t xml:space="preserve">43</w:t>
            </w:r>
          </w:hyperlink>
          <w:r w:rsidDel="00000000" w:rsidR="00000000" w:rsidRPr="00000000">
            <w:rPr>
              <w:rtl w:val="0"/>
            </w:rPr>
          </w:r>
        </w:p>
        <w:p w:rsidR="00000000" w:rsidDel="00000000" w:rsidP="00000000" w:rsidRDefault="00000000" w:rsidRPr="00000000" w14:paraId="0000006C">
          <w:pPr>
            <w:pBdr>
              <w:top w:space="0" w:sz="0" w:val="nil"/>
              <w:left w:space="0" w:sz="0" w:val="nil"/>
              <w:bottom w:space="0" w:sz="0" w:val="nil"/>
              <w:right w:space="0" w:sz="0" w:val="nil"/>
              <w:between w:space="0" w:sz="0" w:val="nil"/>
            </w:pBdr>
            <w:tabs>
              <w:tab w:val="right" w:leader="none" w:pos="8828"/>
            </w:tabs>
            <w:spacing w:after="100" w:lineRule="auto"/>
            <w:rPr>
              <w:rFonts w:ascii="Arial" w:cs="Arial" w:eastAsia="Arial" w:hAnsi="Arial"/>
              <w:color w:val="000000"/>
              <w:sz w:val="20"/>
              <w:szCs w:val="20"/>
            </w:rPr>
          </w:pPr>
          <w:hyperlink w:anchor="_heading=h.f335o26nurzb">
            <w:r w:rsidDel="00000000" w:rsidR="00000000" w:rsidRPr="00000000">
              <w:rPr>
                <w:rFonts w:ascii="Arial" w:cs="Arial" w:eastAsia="Arial" w:hAnsi="Arial"/>
                <w:b w:val="1"/>
                <w:color w:val="000000"/>
                <w:sz w:val="20"/>
                <w:szCs w:val="20"/>
                <w:rtl w:val="0"/>
              </w:rPr>
              <w:t xml:space="preserve">Referencias bibliográficas</w:t>
            </w:r>
          </w:hyperlink>
          <w:hyperlink w:anchor="_heading=h.f335o26nurzb">
            <w:r w:rsidDel="00000000" w:rsidR="00000000" w:rsidRPr="00000000">
              <w:rPr>
                <w:rFonts w:ascii="Arial" w:cs="Arial" w:eastAsia="Arial" w:hAnsi="Arial"/>
                <w:color w:val="000000"/>
                <w:sz w:val="20"/>
                <w:szCs w:val="20"/>
                <w:rtl w:val="0"/>
              </w:rPr>
              <w:tab/>
              <w:t xml:space="preserve">45</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D">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E">
      <w:pPr>
        <w:pStyle w:val="Heading1"/>
        <w:spacing w:before="0" w:lineRule="auto"/>
        <w:rPr>
          <w:b w:val="1"/>
          <w:color w:val="135b42"/>
          <w:sz w:val="32"/>
          <w:szCs w:val="32"/>
        </w:rPr>
      </w:pPr>
      <w:bookmarkStart w:colFirst="0" w:colLast="0" w:name="_heading=h.quih7yn7vuf1" w:id="5"/>
      <w:bookmarkEnd w:id="5"/>
      <w:r w:rsidDel="00000000" w:rsidR="00000000" w:rsidRPr="00000000">
        <w:rPr>
          <w:b w:val="1"/>
          <w:color w:val="135b42"/>
          <w:sz w:val="32"/>
          <w:szCs w:val="32"/>
          <w:rtl w:val="0"/>
        </w:rPr>
        <w:t xml:space="preserve">Resumen</w:t>
      </w:r>
    </w:p>
    <w:p w:rsidR="00000000" w:rsidDel="00000000" w:rsidP="00000000" w:rsidRDefault="00000000" w:rsidRPr="00000000" w14:paraId="0000006F">
      <w:pPr>
        <w:jc w:val="both"/>
        <w:rPr>
          <w:rFonts w:ascii="Arial" w:cs="Arial" w:eastAsia="Arial" w:hAnsi="Arial"/>
          <w:sz w:val="20"/>
          <w:szCs w:val="20"/>
        </w:rPr>
      </w:pPr>
      <w:bookmarkStart w:colFirst="0" w:colLast="0" w:name="_heading=h.2et92p0" w:id="6"/>
      <w:bookmarkEnd w:id="6"/>
      <w:r w:rsidDel="00000000" w:rsidR="00000000" w:rsidRPr="00000000">
        <w:rPr>
          <w:rFonts w:ascii="Arial" w:cs="Arial" w:eastAsia="Arial" w:hAnsi="Arial"/>
          <w:sz w:val="20"/>
          <w:szCs w:val="20"/>
          <w:rtl w:val="0"/>
        </w:rPr>
        <w:t xml:space="preserve">A medida que el cambio climático potencializa la probabilidad de ocurrencia a nivel mundial, la necesidad de herramientas efectivas de evaluación y manejo se vuelve cada vez más indispensable, destacando la importancia de investigación continua en este campo. El Mapa de Áreas Prioritarias de Protección Contra Incendios Forestales en México tiene por objeto apoyar como instrumento de planificación de actividades dentro del marco de esta visión integral de manejo del fuego. La elaboración del Mapa de Áreas Prioritarias de Protección Contra Incendios Forestales (MAPPCIF) se fundamenta en un análisis multicriterio jerarquizado que considera tres componentes esenciales: riesgo, peligro y valor. En el componente de riesgo, los estados con mayores porcentajes en niveles muy alto y extremo son Colima, Estado de México, Michoacán, Ciudad de México y Jalisco, influenciados por la densidad poblacional y actividades agropecuarias. En el componente peligro, Yucatán, Quintana Roo, Colima, Campeche y Michoacán presentan altas proporciones en niveles críticos, reflejando los incendios de gran intensidad y dificultad para su combate. En el componente de valor resaltan Campeche, Quintana Roo, Baja California, Oaxaca y Nayarit, debido a su riqueza ecológica y significancia socio-cultural. Para el MAPPCIF poco más del 18 % de la superficie forestal de México, equivalente a cerca de 34 millones de hectáreas (Mha), se encuentra en niveles de prioridad alto y muy alto, principalmente Quintana Roo, Campeche y Oaxaca, indicando regiones donde es crucial enfocar esfuerzos y recursos en materia de prevención y combate de incendios. La concentración de áreas prioritarias en estos estados nos indica la necesidad de estrategias integrales que consideren las particularidades locales, permitiendo una asignación óptima de recursos y una respuesta efectiva ante emergencias, con el objetivo de proteger los ecosistemas forestales y salvaguardar el bienestar de las comunidades que se benefician de ellos.</w:t>
      </w:r>
    </w:p>
    <w:p w:rsidR="00000000" w:rsidDel="00000000" w:rsidP="00000000" w:rsidRDefault="00000000" w:rsidRPr="00000000" w14:paraId="00000070">
      <w:pPr>
        <w:jc w:val="both"/>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71">
      <w:pPr>
        <w:pStyle w:val="Heading1"/>
        <w:rPr>
          <w:b w:val="1"/>
          <w:color w:val="135b42"/>
          <w:sz w:val="32"/>
          <w:szCs w:val="32"/>
        </w:rPr>
      </w:pPr>
      <w:bookmarkStart w:colFirst="0" w:colLast="0" w:name="_heading=h.o2kttk61kac1" w:id="7"/>
      <w:bookmarkEnd w:id="7"/>
      <w:r w:rsidDel="00000000" w:rsidR="00000000" w:rsidRPr="00000000">
        <w:rPr>
          <w:b w:val="1"/>
          <w:color w:val="135b42"/>
          <w:sz w:val="32"/>
          <w:szCs w:val="32"/>
          <w:rtl w:val="0"/>
        </w:rPr>
        <w:t xml:space="preserve">Antecedentes</w:t>
      </w:r>
    </w:p>
    <w:p w:rsidR="00000000" w:rsidDel="00000000" w:rsidP="00000000" w:rsidRDefault="00000000" w:rsidRPr="00000000" w14:paraId="00000072">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Durante la década de los 60, cuando comenzó el esquema de supresión de incendios forestales, se modificaron sustancialmente los regímenes de fuego en los distintos ecosistemas, causando así la presencia de incendios de menor frecuencia, con efectos nocivos. Estos regímenes influenciados por el ser humano, considerando además los cambios en las condiciones climáticas del globo terráqueo, han provocado un aumento del estrés hídrico en los ecosistemas, promoviendo así la presencia de incendios cada vez más catastróficos.</w:t>
      </w:r>
    </w:p>
    <w:p w:rsidR="00000000" w:rsidDel="00000000" w:rsidP="00000000" w:rsidRDefault="00000000" w:rsidRPr="00000000" w14:paraId="00000073">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 partir de la década de 1990, comienzan los primeros esfuerzos contra esta percepción de que los incendios representan una amenaza ante la biodiversidad, desde la academia con los estudios iniciales que sientan las bases a lo que hoy conocemos en ecología del fuego en nuestro país, con las investigaciones de los profesores y/o investigadores, Enrique Jardel, José Flores, Ernesto Alvarado, Andrés Nájera y Dante Rodríguez. Así mismo, el Gobierno Federal se une a este cambio de paradigma para inducir cambios en la política pública nacional, donde se requería mucho más que saber combatir incendios forestales de gran magnitud y hacer quemas prescritas.</w:t>
      </w:r>
    </w:p>
    <w:p w:rsidR="00000000" w:rsidDel="00000000" w:rsidP="00000000" w:rsidRDefault="00000000" w:rsidRPr="00000000" w14:paraId="00000074">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En 2007 se publica la NOM-015-SEMARNAT/SAGARPA para el uso del fuego y en 2009 comienza la iniciativa de priorizar áreas contra incendios forestales de nuestro país por parte de la Comisión Nacional Forestal (CONAFOR), fundamentándose en un análisis multicriterio jerarquizado que considera tres componentes esenciales: riesgo, peligro y valor. Posteriormente en 2016 se valida la metodología de este mapa con el apoyo del Instituto Nacional de Investigaciones Forestales, Agrícolas y Pecuarias (INIFAP) y en 2020 se actualiza el mapa de áreas prioritarias, incorporándose la Universidad Juárez del Estado de Durango (UJED), a través del equipo del Sistema de Predicción de Peligro de Incendios Forestales (SPPIF), con una nueva propuesta para el componente de riesgo, la cual es el primer sistema de predicción de incendios en el mundo en considerar el riesgo por factores humanos.</w:t>
      </w:r>
    </w:p>
    <w:p w:rsidR="00000000" w:rsidDel="00000000" w:rsidP="00000000" w:rsidRDefault="00000000" w:rsidRPr="00000000" w14:paraId="00000075">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Estas herramientas se desarrollan como parte del Programa de Manejo del Fuego de México, coordinado por la CONAFOR, el cual involucra no solamente a esta institución sino también a los dueños y poseedores de los terrenos forestales en nuestro país, al gobierno municipal, estatal y federal, así como a la academia, las diferentes instituciones de educación superior y centros de investigación con la intención de impulsar el Manejo Integral del Fuego (MIF). Bajo este contexto del MIF, se contribuye al sustento de las comunidades, a la conservación y manejo de los ecosistemas, para minimizar los impactos negativos del fuego y promover los positivos.</w:t>
      </w:r>
    </w:p>
    <w:p w:rsidR="00000000" w:rsidDel="00000000" w:rsidP="00000000" w:rsidRDefault="00000000" w:rsidRPr="00000000" w14:paraId="00000076">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En esta edición 2024, se incorpora una variable para el peligro, el cual considera la intensidad calórica máxima esperada con base al tipo y cantidad de combustible, referida a la probabilidad de que, una vez iniciado, el incendio presente un comportamiento extremo, lo que implica una mayor intensidad y dificultad para su combate.</w:t>
      </w:r>
    </w:p>
    <w:p w:rsidR="00000000" w:rsidDel="00000000" w:rsidP="00000000" w:rsidRDefault="00000000" w:rsidRPr="00000000" w14:paraId="00000077">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78">
      <w:pPr>
        <w:pStyle w:val="Heading1"/>
        <w:rPr>
          <w:b w:val="1"/>
          <w:color w:val="135b42"/>
          <w:sz w:val="32"/>
          <w:szCs w:val="32"/>
        </w:rPr>
      </w:pPr>
      <w:bookmarkStart w:colFirst="0" w:colLast="0" w:name="_heading=h.op8g06uavmoq" w:id="8"/>
      <w:bookmarkEnd w:id="8"/>
      <w:r w:rsidDel="00000000" w:rsidR="00000000" w:rsidRPr="00000000">
        <w:rPr>
          <w:b w:val="1"/>
          <w:color w:val="135b42"/>
          <w:sz w:val="32"/>
          <w:szCs w:val="32"/>
          <w:rtl w:val="0"/>
        </w:rPr>
        <w:t xml:space="preserve">Introducción</w:t>
      </w:r>
    </w:p>
    <w:p w:rsidR="00000000" w:rsidDel="00000000" w:rsidP="00000000" w:rsidRDefault="00000000" w:rsidRPr="00000000" w14:paraId="00000079">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Los incendios forestales son un componente intrínseco de los ecosistemas terrestres desde que la vegetación colonizó la superficie de la Tierra (hace cuatrocientos millones de años); en la actualidad, representan el principal agente perturbador a nivel mundial (Scott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2014). A pesar de su controversial naturaleza, el estudio del papel ecológico del fuego y su caracterización mediante el análisis de las variaciones de los factores del régimen de incendios es fundamental para el manejo sustentable de los recursos forestales, y por ende la conservación de la biodiversidad y servicios ecosistémicos que estos albergan (McLauchlan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2020). </w:t>
      </w:r>
    </w:p>
    <w:p w:rsidR="00000000" w:rsidDel="00000000" w:rsidP="00000000" w:rsidRDefault="00000000" w:rsidRPr="00000000" w14:paraId="0000007A">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siglo XXI trae consigo importantes desafíos para seguir beneficiándonos de los servicios que los ecosistemas ofrecen. Particularmente, en México, al menos el 80 % de la superficie vegetal está sometida de forma recurrente a incendios periódicos provocados por el hombre (Rodríguez y Fulé, 2003). Considerando esto, CONAFOR reportó en nuestro país un promedio anual de 7,087 incendios forestales durante el periodo de 1970 y 2018, que afectan aproximadamente 253,380 ha, en su mayoría en ecosistemas con especies dominantes de coníferas y latifoliadas (encino) (CONAFOR, 2024). El 2 % son causados por aspectos naturales y el resto por causas antropogénicas (i.e. actividades agropecuarias y turísticas).</w:t>
      </w:r>
    </w:p>
    <w:p w:rsidR="00000000" w:rsidDel="00000000" w:rsidP="00000000" w:rsidRDefault="00000000" w:rsidRPr="00000000" w14:paraId="0000007B">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En ese sentido, se ha encontrado que, en ecosistemas dependientes e influenciados por el fuego, la severidad en niveles bajo-medio promueve la regeneración natural, la diversidad de especies, el reciclaje de materia orgánica y nutrientes (Rodríguez-Trejo, 2014). En condiciones extremas, los efectos negativos más representativos son la pérdida de biomasa vegetal, la modificación significativa de las características físico-químicas y principalmente las biológicas del suelo y los impactos negativos en el cambio climático a través de la emisión de gases de efecto invernadero (Flores-Garnica, 2011).</w:t>
      </w:r>
    </w:p>
    <w:p w:rsidR="00000000" w:rsidDel="00000000" w:rsidP="00000000" w:rsidRDefault="00000000" w:rsidRPr="00000000" w14:paraId="0000007C">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Uno de los principales retos actuales es el uso y distribución efectiva de los recursos (i.e. económicos, humanos) desde el nivel local hasta el gobierno federal para la atención de algún desastre natural. Más aún, optimizar en tiempo y forma los recursos disponibles en los lugares que más se requieran. Una forma de determinar estos lugares es mediante el uso de los Sistemas de Información Geográfica (SIG), los cuales nos proporcionan diferentes técnicas para el manejo, análisis y representación de datos geoespaciales (Goodchild, 1992). </w:t>
      </w:r>
    </w:p>
    <w:p w:rsidR="00000000" w:rsidDel="00000000" w:rsidP="00000000" w:rsidRDefault="00000000" w:rsidRPr="00000000" w14:paraId="0000007D">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En México, la CONAFOR (2010) publicó la metodología para la elaboración del primer mapa de áreas prioritarias, el cual ha sido la base para funcionar como un instrumento de planificación dentro del programa de manejo del fuego (Programa Nacional de Protección contra Incendios Forestales en ese entonces). La metodología se basa en el análisis multicriterio a través de SIG, una técnica donde se jerarquizan un conjunto de variables geoespaciales donde se les asigna un valor determinado considerando la cuestión empírica, el comportamiento lógico y la normativa que define la racionalidad para la toma de decisiones (Mireles, 2021). </w:t>
      </w:r>
    </w:p>
    <w:p w:rsidR="00000000" w:rsidDel="00000000" w:rsidP="00000000" w:rsidRDefault="00000000" w:rsidRPr="00000000" w14:paraId="0000007E">
      <w:pPr>
        <w:jc w:val="both"/>
        <w:rPr>
          <w:rFonts w:ascii="Arial" w:cs="Arial" w:eastAsia="Arial" w:hAnsi="Arial"/>
          <w:b w:val="1"/>
          <w:sz w:val="20"/>
          <w:szCs w:val="20"/>
        </w:rPr>
      </w:pPr>
      <w:r w:rsidDel="00000000" w:rsidR="00000000" w:rsidRPr="00000000">
        <w:rPr>
          <w:rFonts w:ascii="Arial" w:cs="Arial" w:eastAsia="Arial" w:hAnsi="Arial"/>
          <w:sz w:val="20"/>
          <w:szCs w:val="20"/>
          <w:rtl w:val="0"/>
        </w:rPr>
        <w:t xml:space="preserve">El objetivo de este documento es presentar la metodología empleada para actualizar el mapa de áreas prioritarias contra incendios forestales para México, considerando los componentes riesgo, peligro y valor, mediante un análisis de decisión multicriterio para fortalecer la toma de decisiones y la distribución óptima de los recursos en materia de incendios forestales.</w:t>
      </w:r>
      <w:r w:rsidDel="00000000" w:rsidR="00000000" w:rsidRPr="00000000">
        <w:br w:type="page"/>
      </w:r>
      <w:r w:rsidDel="00000000" w:rsidR="00000000" w:rsidRPr="00000000">
        <w:rPr>
          <w:rtl w:val="0"/>
        </w:rPr>
      </w:r>
    </w:p>
    <w:p w:rsidR="00000000" w:rsidDel="00000000" w:rsidP="00000000" w:rsidRDefault="00000000" w:rsidRPr="00000000" w14:paraId="0000007F">
      <w:pPr>
        <w:pStyle w:val="Heading1"/>
        <w:rPr>
          <w:b w:val="1"/>
          <w:color w:val="135b42"/>
          <w:sz w:val="32"/>
          <w:szCs w:val="32"/>
        </w:rPr>
      </w:pPr>
      <w:bookmarkStart w:colFirst="0" w:colLast="0" w:name="_heading=h.ukdbv5c9153d" w:id="9"/>
      <w:bookmarkEnd w:id="9"/>
      <w:r w:rsidDel="00000000" w:rsidR="00000000" w:rsidRPr="00000000">
        <w:rPr>
          <w:b w:val="1"/>
          <w:color w:val="135b42"/>
          <w:sz w:val="32"/>
          <w:szCs w:val="32"/>
          <w:rtl w:val="0"/>
        </w:rPr>
        <w:t xml:space="preserve">Marco geoestadístico nacional</w:t>
      </w:r>
    </w:p>
    <w:p w:rsidR="00000000" w:rsidDel="00000000" w:rsidP="00000000" w:rsidRDefault="00000000" w:rsidRPr="00000000" w14:paraId="00000080">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marco estadístico es un sistema diseñado por el Instituto Nacional de Estadística y Geografía (INEGI) para organizar y referenciar geográficamente la información estadística de México, a través de una división territorial en distintos niveles de desagregación (áreas geoestadísticas estatales, municipales, manzanas, entre otros). Su objetivo es proporcionar una base coherente y estandarizada para la recopilación, análisis y difusión de datos estadísticos y geográficos a nivel nacional. En el Cuadro 1 se muestran los parámetros geoespaciales del marco geoestadístico empleado para el análisis del MAPCIF24 a nivel estatal, en su edición de diciembre de 2023 (INEGI, 2023). </w:t>
      </w:r>
    </w:p>
    <w:tbl>
      <w:tblPr>
        <w:tblStyle w:val="Table1"/>
        <w:tblW w:w="8838.0" w:type="dxa"/>
        <w:jc w:val="center"/>
        <w:tblLayout w:type="fixed"/>
        <w:tblLook w:val="0400"/>
      </w:tblPr>
      <w:tblGrid>
        <w:gridCol w:w="2507"/>
        <w:gridCol w:w="1525"/>
        <w:gridCol w:w="2524"/>
        <w:gridCol w:w="2282"/>
        <w:tblGridChange w:id="0">
          <w:tblGrid>
            <w:gridCol w:w="2507"/>
            <w:gridCol w:w="1525"/>
            <w:gridCol w:w="2524"/>
            <w:gridCol w:w="2282"/>
          </w:tblGrid>
        </w:tblGridChange>
      </w:tblGrid>
      <w:tr>
        <w:trPr>
          <w:cantSplit w:val="0"/>
          <w:trHeight w:val="285" w:hRule="atLeast"/>
          <w:tblHeader w:val="0"/>
        </w:trPr>
        <w:tc>
          <w:tcPr>
            <w:gridSpan w:val="4"/>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81">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00000"/>
                <w:sz w:val="18"/>
                <w:szCs w:val="18"/>
              </w:rPr>
            </w:pPr>
            <w:bookmarkStart w:colFirst="0" w:colLast="0" w:name="_heading=h.4d34og8" w:id="10"/>
            <w:bookmarkEnd w:id="10"/>
            <w:r w:rsidDel="00000000" w:rsidR="00000000" w:rsidRPr="00000000">
              <w:rPr>
                <w:rFonts w:ascii="Arial" w:cs="Arial" w:eastAsia="Arial" w:hAnsi="Arial"/>
                <w:i w:val="1"/>
                <w:color w:val="0e2841"/>
                <w:sz w:val="20"/>
                <w:szCs w:val="20"/>
                <w:rtl w:val="0"/>
              </w:rPr>
              <w:t xml:space="preserve">Cuadro 1. Parámetros geoespaciales del marco geodésico nacional 2023 (MGE23)</w:t>
            </w:r>
            <w:r w:rsidDel="00000000" w:rsidR="00000000" w:rsidRPr="00000000">
              <w:rPr>
                <w:rtl w:val="0"/>
              </w:rPr>
            </w:r>
          </w:p>
        </w:tc>
      </w:tr>
      <w:tr>
        <w:trPr>
          <w:cantSplit w:val="0"/>
          <w:trHeight w:val="30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85">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Tema:</w:t>
            </w:r>
          </w:p>
        </w:tc>
        <w:tc>
          <w:tcPr>
            <w:gridSpan w:val="3"/>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8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Marco Geoestadístico</w:t>
            </w:r>
          </w:p>
        </w:tc>
      </w:tr>
      <w:tr>
        <w:trPr>
          <w:cantSplit w:val="0"/>
          <w:trHeight w:val="300" w:hRule="atLeast"/>
          <w:tblHeader w:val="0"/>
        </w:trPr>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89">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Entidad:</w:t>
            </w:r>
          </w:p>
        </w:tc>
        <w:tc>
          <w:tcPr>
            <w:gridSpan w:val="3"/>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8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Estados Unidos Mexicanos</w:t>
            </w:r>
          </w:p>
        </w:tc>
      </w:tr>
      <w:tr>
        <w:trPr>
          <w:cantSplit w:val="0"/>
          <w:trHeight w:val="300"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8D">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Formato:</w:t>
            </w:r>
          </w:p>
        </w:tc>
        <w:tc>
          <w:tcPr>
            <w:gridSpan w:val="3"/>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8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Electrónico (*</w:t>
            </w:r>
            <w:r w:rsidDel="00000000" w:rsidR="00000000" w:rsidRPr="00000000">
              <w:rPr>
                <w:rFonts w:ascii="Arial" w:cs="Arial" w:eastAsia="Arial" w:hAnsi="Arial"/>
                <w:i w:val="1"/>
                <w:color w:val="000000"/>
                <w:sz w:val="18"/>
                <w:szCs w:val="18"/>
                <w:rtl w:val="0"/>
              </w:rPr>
              <w:t xml:space="preserve">.shp</w:t>
            </w:r>
            <w:r w:rsidDel="00000000" w:rsidR="00000000" w:rsidRPr="00000000">
              <w:rPr>
                <w:rFonts w:ascii="Arial" w:cs="Arial" w:eastAsia="Arial" w:hAnsi="Arial"/>
                <w:color w:val="000000"/>
                <w:sz w:val="18"/>
                <w:szCs w:val="18"/>
                <w:rtl w:val="0"/>
              </w:rPr>
              <w:t xml:space="preserve">)</w:t>
            </w:r>
          </w:p>
        </w:tc>
      </w:tr>
      <w:tr>
        <w:trPr>
          <w:cantSplit w:val="0"/>
          <w:trHeight w:val="300" w:hRule="atLeast"/>
          <w:tblHeader w:val="0"/>
        </w:trPr>
        <w:tc>
          <w:tcPr>
            <w:gridSpan w:val="4"/>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9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b w:val="1"/>
                <w:color w:val="000000"/>
                <w:sz w:val="18"/>
                <w:szCs w:val="18"/>
                <w:rtl w:val="0"/>
              </w:rPr>
              <w:t xml:space="preserve">EPSG:</w:t>
            </w:r>
            <w:r w:rsidDel="00000000" w:rsidR="00000000" w:rsidRPr="00000000">
              <w:rPr>
                <w:rFonts w:ascii="Arial" w:cs="Arial" w:eastAsia="Arial" w:hAnsi="Arial"/>
                <w:color w:val="000000"/>
                <w:sz w:val="18"/>
                <w:szCs w:val="18"/>
                <w:rtl w:val="0"/>
              </w:rPr>
              <w:t xml:space="preserve"> 6372</w:t>
            </w:r>
            <w:r w:rsidDel="00000000" w:rsidR="00000000" w:rsidRPr="00000000">
              <w:rPr>
                <w:rFonts w:ascii="Arial" w:cs="Arial" w:eastAsia="Arial" w:hAnsi="Arial"/>
                <w:color w:val="000000"/>
                <w:sz w:val="18"/>
                <w:szCs w:val="18"/>
                <w:vertAlign w:val="superscript"/>
                <w:rtl w:val="0"/>
              </w:rPr>
              <w:t xml:space="preserve">1</w:t>
            </w:r>
            <w:r w:rsidDel="00000000" w:rsidR="00000000" w:rsidRPr="00000000">
              <w:rPr>
                <w:rtl w:val="0"/>
              </w:rPr>
            </w:r>
          </w:p>
        </w:tc>
      </w:tr>
      <w:tr>
        <w:trPr>
          <w:cantSplit w:val="0"/>
          <w:trHeight w:val="300" w:hRule="atLeast"/>
          <w:tblHeader w:val="0"/>
        </w:trPr>
        <w:tc>
          <w:tcPr>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5">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Proyección:</w:t>
            </w:r>
          </w:p>
        </w:tc>
        <w:tc>
          <w:tcPr>
            <w:gridSpan w:val="3"/>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Cónica Conforme de Lambert (CCL)</w:t>
            </w:r>
          </w:p>
        </w:tc>
      </w:tr>
      <w:tr>
        <w:trPr>
          <w:cantSplit w:val="0"/>
          <w:trHeight w:val="30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9">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Unidades:</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A">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Métricas</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B">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Edición:</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 Diciembre 2023</w:t>
            </w:r>
          </w:p>
        </w:tc>
      </w:tr>
      <w:tr>
        <w:trPr>
          <w:cantSplit w:val="0"/>
          <w:trHeight w:val="30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D">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Datum:</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E">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ITRF2008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F">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Elipsoide:</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A0">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GRS80</w:t>
            </w:r>
          </w:p>
        </w:tc>
      </w:tr>
      <w:tr>
        <w:trPr>
          <w:cantSplit w:val="0"/>
          <w:trHeight w:val="300"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A1">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Eje semi-mayor:</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A2">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6378137</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A3">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Eje semi-menor:</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A4">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6356752</w:t>
            </w:r>
          </w:p>
        </w:tc>
      </w:tr>
      <w:tr>
        <w:trPr>
          <w:cantSplit w:val="0"/>
          <w:trHeight w:val="285" w:hRule="atLeast"/>
          <w:tblHeader w:val="0"/>
        </w:trPr>
        <w:tc>
          <w:tcPr>
            <w:gridSpan w:val="4"/>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A5">
            <w:pPr>
              <w:spacing w:after="0" w:line="240" w:lineRule="auto"/>
              <w:rPr>
                <w:rFonts w:ascii="Arial" w:cs="Arial" w:eastAsia="Arial" w:hAnsi="Arial"/>
                <w:i w:val="1"/>
                <w:color w:val="000000"/>
                <w:sz w:val="12"/>
                <w:szCs w:val="12"/>
              </w:rPr>
            </w:pPr>
            <w:r w:rsidDel="00000000" w:rsidR="00000000" w:rsidRPr="00000000">
              <w:rPr>
                <w:rFonts w:ascii="Arial" w:cs="Arial" w:eastAsia="Arial" w:hAnsi="Arial"/>
                <w:i w:val="1"/>
                <w:color w:val="000000"/>
                <w:sz w:val="12"/>
                <w:szCs w:val="12"/>
                <w:vertAlign w:val="superscript"/>
                <w:rtl w:val="0"/>
              </w:rPr>
              <w:t xml:space="preserve">1</w:t>
            </w:r>
            <w:r w:rsidDel="00000000" w:rsidR="00000000" w:rsidRPr="00000000">
              <w:rPr>
                <w:rFonts w:ascii="Arial" w:cs="Arial" w:eastAsia="Arial" w:hAnsi="Arial"/>
                <w:i w:val="1"/>
                <w:color w:val="000000"/>
                <w:sz w:val="12"/>
                <w:szCs w:val="12"/>
                <w:rtl w:val="0"/>
              </w:rPr>
              <w:t xml:space="preserve"> Código único oficial asignado para el INEGI. </w:t>
            </w:r>
            <w:r w:rsidDel="00000000" w:rsidR="00000000" w:rsidRPr="00000000">
              <w:rPr>
                <w:rFonts w:ascii="Arial" w:cs="Arial" w:eastAsia="Arial" w:hAnsi="Arial"/>
                <w:i w:val="1"/>
                <w:color w:val="000000"/>
                <w:sz w:val="12"/>
                <w:szCs w:val="12"/>
                <w:vertAlign w:val="superscript"/>
                <w:rtl w:val="0"/>
              </w:rPr>
              <w:t xml:space="preserve">2</w:t>
            </w:r>
            <w:r w:rsidDel="00000000" w:rsidR="00000000" w:rsidRPr="00000000">
              <w:rPr>
                <w:rFonts w:ascii="Arial" w:cs="Arial" w:eastAsia="Arial" w:hAnsi="Arial"/>
                <w:i w:val="1"/>
                <w:color w:val="000000"/>
                <w:sz w:val="12"/>
                <w:szCs w:val="12"/>
                <w:rtl w:val="0"/>
              </w:rPr>
              <w:t xml:space="preserve"> Sistema Geodésico de Referencia de 1980</w:t>
            </w:r>
          </w:p>
        </w:tc>
      </w:tr>
    </w:tbl>
    <w:p w:rsidR="00000000" w:rsidDel="00000000" w:rsidP="00000000" w:rsidRDefault="00000000" w:rsidRPr="00000000" w14:paraId="000000A9">
      <w:pPr>
        <w:spacing w:after="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A">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En el Cuadro 2 se muestra la superficie para los 32 estados de los Estados Unidos Mexicanos (EUM), calculados con los parámetros indicados en el Cuadro 1.</w:t>
      </w:r>
    </w:p>
    <w:tbl>
      <w:tblPr>
        <w:tblStyle w:val="Table2"/>
        <w:tblW w:w="8203.0" w:type="dxa"/>
        <w:jc w:val="center"/>
        <w:tblLayout w:type="fixed"/>
        <w:tblLook w:val="0400"/>
      </w:tblPr>
      <w:tblGrid>
        <w:gridCol w:w="850"/>
        <w:gridCol w:w="1843"/>
        <w:gridCol w:w="555"/>
        <w:gridCol w:w="967"/>
        <w:gridCol w:w="850"/>
        <w:gridCol w:w="1382"/>
        <w:gridCol w:w="693"/>
        <w:gridCol w:w="1063"/>
        <w:tblGridChange w:id="0">
          <w:tblGrid>
            <w:gridCol w:w="850"/>
            <w:gridCol w:w="1843"/>
            <w:gridCol w:w="555"/>
            <w:gridCol w:w="967"/>
            <w:gridCol w:w="850"/>
            <w:gridCol w:w="1382"/>
            <w:gridCol w:w="693"/>
            <w:gridCol w:w="1063"/>
          </w:tblGrid>
        </w:tblGridChange>
      </w:tblGrid>
      <w:tr>
        <w:trPr>
          <w:cantSplit w:val="0"/>
          <w:trHeight w:val="270" w:hRule="atLeast"/>
          <w:tblHeader w:val="0"/>
        </w:trPr>
        <w:tc>
          <w:tcPr>
            <w:gridSpan w:val="8"/>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AB">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00000"/>
                <w:sz w:val="16"/>
                <w:szCs w:val="16"/>
              </w:rPr>
            </w:pPr>
            <w:bookmarkStart w:colFirst="0" w:colLast="0" w:name="_heading=h.2s8eyo1" w:id="11"/>
            <w:bookmarkEnd w:id="11"/>
            <w:r w:rsidDel="00000000" w:rsidR="00000000" w:rsidRPr="00000000">
              <w:rPr>
                <w:rFonts w:ascii="Arial" w:cs="Arial" w:eastAsia="Arial" w:hAnsi="Arial"/>
                <w:i w:val="1"/>
                <w:color w:val="0e2841"/>
                <w:sz w:val="20"/>
                <w:szCs w:val="20"/>
                <w:rtl w:val="0"/>
              </w:rPr>
              <w:t xml:space="preserve">Cuadro 2. Superficie estatal de acuerdo a los parámetros geo espaciales del MGE23</w:t>
            </w:r>
            <w:r w:rsidDel="00000000" w:rsidR="00000000" w:rsidRPr="00000000">
              <w:rPr>
                <w:rtl w:val="0"/>
              </w:rPr>
            </w:r>
          </w:p>
        </w:tc>
      </w:tr>
      <w:tr>
        <w:trPr>
          <w:cantSplit w:val="0"/>
          <w:trHeight w:val="270"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B3">
            <w:pPr>
              <w:spacing w:after="0" w:line="240" w:lineRule="auto"/>
              <w:jc w:val="center"/>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CLAVE</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B4">
            <w:pPr>
              <w:spacing w:after="0" w:line="240" w:lineRule="auto"/>
              <w:jc w:val="center"/>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ENTIDAD</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B5">
            <w:pPr>
              <w:spacing w:after="0" w:line="240" w:lineRule="auto"/>
              <w:jc w:val="center"/>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CEN*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B6">
            <w:pPr>
              <w:spacing w:after="0" w:line="240" w:lineRule="auto"/>
              <w:jc w:val="center"/>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SUP. (ha)</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B7">
            <w:pPr>
              <w:spacing w:after="0" w:line="240" w:lineRule="auto"/>
              <w:jc w:val="center"/>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CLAVE</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B8">
            <w:pPr>
              <w:spacing w:after="0" w:line="240" w:lineRule="auto"/>
              <w:jc w:val="center"/>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ENTIDAD</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B9">
            <w:pPr>
              <w:spacing w:after="0" w:line="240" w:lineRule="auto"/>
              <w:jc w:val="center"/>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CEN*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BA">
            <w:pPr>
              <w:spacing w:after="0" w:line="240" w:lineRule="auto"/>
              <w:jc w:val="center"/>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SUP. (ha)</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B">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C">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Aguascalientes</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D">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AGU</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E">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561,567</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F">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0">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Morelos</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1">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MOR</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2">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487,890</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3">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4">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Baja California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5">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BCN</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6">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7,305,384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7">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8">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Nayarit</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9">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NAY</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A">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2,810,238</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B">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C">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Baja California Sur</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D">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BCS</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E">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7,202,394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F">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19</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0">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Nuevo León</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1">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NLE</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2">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6,415,625</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3">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4">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Campeche</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5">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CAM</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6">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5,750,801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7">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8">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Oaxaca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9">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OAX</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A">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9,376,565</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B">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C">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Coahuila de Zaragoza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D">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COA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E">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15,159,461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F">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0">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Puebla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1">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PUE</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2">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3,430,965</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3">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6</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4">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Colima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5">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COL</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6">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578,337</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7">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8">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Querétaro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9">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QUE</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A">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1,169,058</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B">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7</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C">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Chiapas</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D">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CHP</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E">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7,331,635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F">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0">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Quintana Roo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1">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ROO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2">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4,484,126</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3">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4">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Chihuahua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5">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CHH</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6">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24,741,254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7">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8">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San Luis Potosí</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9">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SLP</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A">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6,113,796</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B">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C">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Ciudad de México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D">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CMX</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E">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149,431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F">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0">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Sinaloa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1">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SIN</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2">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5,738,253</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3">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4">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Durango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5">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DUR</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6">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12,336,413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7">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26</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8">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Sonora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9">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SON</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A">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18,039,981</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B">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C">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Guanajuato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D">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GUA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E">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3,060,667</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F">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27</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0">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Tabasco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1">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TAB</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2">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2,473,807</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3">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4">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Guerrero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5">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GRO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6">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6,360,374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7">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8">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Tamaulipas</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9">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TAM</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A">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8,027,064</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B">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C">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Hidalgo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D">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HID</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E">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2,082,144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F">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29</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0">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Tlaxcala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1">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TLA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2">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399,663</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3">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4">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Jalisco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5">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JAL</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6">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7,860,134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7">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8">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Veracruz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9">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VER</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A">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7,182,982</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B">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C">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México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D">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MEX</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E">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2,235,175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F">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31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30">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Yucatán</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31">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YUC</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32">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3,976,100</w:t>
            </w:r>
          </w:p>
        </w:tc>
      </w:tr>
      <w:tr>
        <w:trPr>
          <w:cantSplit w:val="0"/>
          <w:trHeight w:val="270"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33">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16</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34">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Michoacán de Ocampo</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35">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MIC</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36">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5,860,387</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37">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32</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38">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Zacatecas</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39">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ZAC</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3A">
            <w:pPr>
              <w:spacing w:after="0" w:line="240" w:lineRule="auto"/>
              <w:jc w:val="right"/>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7,527,539</w:t>
            </w:r>
          </w:p>
        </w:tc>
      </w:tr>
      <w:tr>
        <w:trPr>
          <w:cantSplit w:val="0"/>
          <w:trHeight w:val="270" w:hRule="atLeast"/>
          <w:tblHeader w:val="0"/>
        </w:trPr>
        <w:tc>
          <w:tcPr>
            <w:gridSpan w:val="7"/>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3B">
            <w:pPr>
              <w:spacing w:after="0" w:line="240" w:lineRule="auto"/>
              <w:jc w:val="right"/>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TOTAL:</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42">
            <w:pPr>
              <w:spacing w:after="0" w:line="240" w:lineRule="auto"/>
              <w:jc w:val="right"/>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196,229,208</w:t>
            </w:r>
          </w:p>
        </w:tc>
      </w:tr>
      <w:tr>
        <w:trPr>
          <w:cantSplit w:val="0"/>
          <w:trHeight w:val="270" w:hRule="atLeast"/>
          <w:tblHeader w:val="0"/>
        </w:trPr>
        <w:tc>
          <w:tcPr>
            <w:gridSpan w:val="8"/>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43">
            <w:pPr>
              <w:spacing w:after="0" w:line="240" w:lineRule="auto"/>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 De acuerdo con la ISO 3166-2 para México, disponible en: </w:t>
            </w:r>
            <w:hyperlink r:id="rId12">
              <w:r w:rsidDel="00000000" w:rsidR="00000000" w:rsidRPr="00000000">
                <w:rPr>
                  <w:rFonts w:ascii="Arial" w:cs="Arial" w:eastAsia="Arial" w:hAnsi="Arial"/>
                  <w:i w:val="1"/>
                  <w:color w:val="467886"/>
                  <w:sz w:val="16"/>
                  <w:szCs w:val="16"/>
                  <w:u w:val="single"/>
                  <w:rtl w:val="0"/>
                </w:rPr>
                <w:t xml:space="preserve">https://www.iso.org/obp/ui/#iso:code:3166:MX</w:t>
              </w:r>
            </w:hyperlink>
            <w:r w:rsidDel="00000000" w:rsidR="00000000" w:rsidRPr="00000000">
              <w:rPr>
                <w:rtl w:val="0"/>
              </w:rPr>
            </w:r>
          </w:p>
        </w:tc>
      </w:tr>
    </w:tbl>
    <w:p w:rsidR="00000000" w:rsidDel="00000000" w:rsidP="00000000" w:rsidRDefault="00000000" w:rsidRPr="00000000" w14:paraId="0000014B">
      <w:pPr>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4C">
      <w:pPr>
        <w:pStyle w:val="Heading2"/>
        <w:rPr>
          <w:color w:val="135b42"/>
          <w:sz w:val="22"/>
          <w:szCs w:val="22"/>
        </w:rPr>
      </w:pPr>
      <w:bookmarkStart w:colFirst="0" w:colLast="0" w:name="_heading=h.7yhjcdps1oow" w:id="12"/>
      <w:bookmarkEnd w:id="12"/>
      <w:r w:rsidDel="00000000" w:rsidR="00000000" w:rsidRPr="00000000">
        <w:rPr>
          <w:color w:val="135b42"/>
          <w:sz w:val="22"/>
          <w:szCs w:val="22"/>
          <w:rtl w:val="0"/>
        </w:rPr>
        <w:t xml:space="preserve">Marco geográfico</w:t>
      </w:r>
    </w:p>
    <w:p w:rsidR="00000000" w:rsidDel="00000000" w:rsidP="00000000" w:rsidRDefault="00000000" w:rsidRPr="00000000" w14:paraId="0000014D">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De acuerdo con la CONAFOR (2013), los Estados Unidos Mexicanos se ubican en el continente americano, las características geográficas se muestran en el Cuadro 3.</w:t>
      </w:r>
    </w:p>
    <w:tbl>
      <w:tblPr>
        <w:tblStyle w:val="Table3"/>
        <w:tblW w:w="8838.0" w:type="dxa"/>
        <w:jc w:val="center"/>
        <w:tblLayout w:type="fixed"/>
        <w:tblLook w:val="0400"/>
      </w:tblPr>
      <w:tblGrid>
        <w:gridCol w:w="1301"/>
        <w:gridCol w:w="5822"/>
        <w:gridCol w:w="1715"/>
        <w:tblGridChange w:id="0">
          <w:tblGrid>
            <w:gridCol w:w="1301"/>
            <w:gridCol w:w="5822"/>
            <w:gridCol w:w="1715"/>
          </w:tblGrid>
        </w:tblGridChange>
      </w:tblGrid>
      <w:tr>
        <w:trPr>
          <w:cantSplit w:val="0"/>
          <w:trHeight w:val="20" w:hRule="atLeast"/>
          <w:tblHeader w:val="0"/>
        </w:trPr>
        <w:tc>
          <w:tcPr>
            <w:gridSpan w:val="3"/>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4E">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00000"/>
                <w:sz w:val="18"/>
                <w:szCs w:val="18"/>
              </w:rPr>
            </w:pPr>
            <w:bookmarkStart w:colFirst="0" w:colLast="0" w:name="_heading=h.3rdcrjn" w:id="13"/>
            <w:bookmarkEnd w:id="13"/>
            <w:r w:rsidDel="00000000" w:rsidR="00000000" w:rsidRPr="00000000">
              <w:rPr>
                <w:rFonts w:ascii="Arial" w:cs="Arial" w:eastAsia="Arial" w:hAnsi="Arial"/>
                <w:i w:val="1"/>
                <w:color w:val="0e2841"/>
                <w:sz w:val="20"/>
                <w:szCs w:val="20"/>
                <w:rtl w:val="0"/>
              </w:rPr>
              <w:t xml:space="preserve">Cuadro 3. Parámetros geográficos de la República Mexicana</w:t>
            </w:r>
            <w:r w:rsidDel="00000000" w:rsidR="00000000" w:rsidRPr="00000000">
              <w:rPr>
                <w:rtl w:val="0"/>
              </w:rPr>
            </w:r>
          </w:p>
        </w:tc>
      </w:tr>
      <w:tr>
        <w:trPr>
          <w:cantSplit w:val="0"/>
          <w:trHeight w:val="20" w:hRule="atLeast"/>
          <w:tblHeader w:val="0"/>
        </w:trPr>
        <w:tc>
          <w:tcPr>
            <w:gridSpan w:val="3"/>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51">
            <w:pPr>
              <w:spacing w:after="0" w:line="240" w:lineRule="auto"/>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Extensión</w:t>
            </w:r>
          </w:p>
        </w:tc>
      </w:tr>
      <w:tr>
        <w:trPr>
          <w:cantSplit w:val="0"/>
          <w:trHeight w:val="2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54">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Norte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55">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Límite con México-Estados Unidos de América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56">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32°43'06" N</w:t>
            </w:r>
          </w:p>
        </w:tc>
      </w:tr>
      <w:tr>
        <w:trPr>
          <w:cantSplit w:val="0"/>
          <w:trHeight w:val="2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57">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Sur</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58">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Desembocadura del río Suchiate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59">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14°32'27" N</w:t>
            </w:r>
          </w:p>
        </w:tc>
      </w:tr>
      <w:tr>
        <w:trPr>
          <w:cantSplit w:val="0"/>
          <w:trHeight w:val="2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5A">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Oriente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5B">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Isla Mujeres</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5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86°42'36" O</w:t>
            </w:r>
          </w:p>
        </w:tc>
      </w:tr>
      <w:tr>
        <w:trPr>
          <w:cantSplit w:val="0"/>
          <w:trHeight w:val="20" w:hRule="atLeast"/>
          <w:tblHeader w:val="0"/>
        </w:trPr>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5D">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Occidente</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5E">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Isla Guadalupe</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5F">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118°22'00" O</w:t>
            </w:r>
          </w:p>
        </w:tc>
      </w:tr>
      <w:tr>
        <w:trPr>
          <w:cantSplit w:val="0"/>
          <w:trHeight w:val="20"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60">
            <w:pPr>
              <w:spacing w:after="0" w:line="240" w:lineRule="auto"/>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territorial (ha)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62">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196,741,908</w:t>
            </w:r>
          </w:p>
        </w:tc>
      </w:tr>
      <w:tr>
        <w:trPr>
          <w:cantSplit w:val="0"/>
          <w:trHeight w:val="20"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63">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*Continental:</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65">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196,229,208</w:t>
            </w:r>
          </w:p>
        </w:tc>
      </w:tr>
      <w:tr>
        <w:trPr>
          <w:cantSplit w:val="0"/>
          <w:trHeight w:val="20" w:hRule="atLeast"/>
          <w:tblHeader w:val="0"/>
        </w:trPr>
        <w:tc>
          <w:tcPr>
            <w:gridSpan w:val="2"/>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66">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Insular:</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68">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512,700</w:t>
            </w:r>
          </w:p>
        </w:tc>
      </w:tr>
      <w:tr>
        <w:trPr>
          <w:cantSplit w:val="0"/>
          <w:trHeight w:val="20" w:hRule="atLeast"/>
          <w:tblHeader w:val="0"/>
        </w:trPr>
        <w:tc>
          <w:tcPr>
            <w:gridSpan w:val="2"/>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69">
            <w:pPr>
              <w:spacing w:after="0" w:line="240" w:lineRule="auto"/>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Longitud de la línea de costa (km)</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6B">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11,122</w:t>
            </w:r>
          </w:p>
        </w:tc>
      </w:tr>
      <w:tr>
        <w:trPr>
          <w:cantSplit w:val="0"/>
          <w:trHeight w:val="20"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6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Océano Pacífico: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6E">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7,828</w:t>
            </w:r>
          </w:p>
        </w:tc>
      </w:tr>
      <w:tr>
        <w:trPr>
          <w:cantSplit w:val="0"/>
          <w:trHeight w:val="20" w:hRule="atLeast"/>
          <w:tblHeader w:val="0"/>
        </w:trPr>
        <w:tc>
          <w:tcPr>
            <w:gridSpan w:val="2"/>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6F">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Golfo de México y mar Caribe:</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71">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3,294</w:t>
            </w:r>
          </w:p>
        </w:tc>
      </w:tr>
      <w:tr>
        <w:trPr>
          <w:cantSplit w:val="0"/>
          <w:trHeight w:val="20"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72">
            <w:pPr>
              <w:spacing w:after="0" w:line="240" w:lineRule="auto"/>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Límites internacionales (km)</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74">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4,301</w:t>
            </w:r>
          </w:p>
        </w:tc>
      </w:tr>
      <w:tr>
        <w:trPr>
          <w:cantSplit w:val="0"/>
          <w:trHeight w:val="20"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75">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Estados Unidos de América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77">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3,152</w:t>
            </w:r>
          </w:p>
        </w:tc>
      </w:tr>
      <w:tr>
        <w:trPr>
          <w:cantSplit w:val="0"/>
          <w:trHeight w:val="20"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78">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Guatemala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7A">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956</w:t>
            </w:r>
          </w:p>
        </w:tc>
      </w:tr>
      <w:tr>
        <w:trPr>
          <w:cantSplit w:val="0"/>
          <w:trHeight w:val="20" w:hRule="atLeast"/>
          <w:tblHeader w:val="0"/>
        </w:trPr>
        <w:tc>
          <w:tcPr>
            <w:gridSpan w:val="2"/>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7B">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Belice</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7D">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193</w:t>
            </w:r>
          </w:p>
        </w:tc>
      </w:tr>
      <w:tr>
        <w:trPr>
          <w:cantSplit w:val="0"/>
          <w:trHeight w:val="20" w:hRule="atLeast"/>
          <w:tblHeader w:val="0"/>
        </w:trPr>
        <w:tc>
          <w:tcPr>
            <w:gridSpan w:val="3"/>
            <w:tcBorders>
              <w:top w:color="000000" w:space="0" w:sz="4" w:val="single"/>
              <w:left w:color="000000" w:space="0" w:sz="0" w:val="nil"/>
              <w:bottom w:color="000000" w:space="0" w:sz="0" w:val="nil"/>
              <w:right w:color="000000" w:space="0" w:sz="0" w:val="nil"/>
            </w:tcBorders>
            <w:shd w:fill="auto" w:val="clear"/>
          </w:tcPr>
          <w:p w:rsidR="00000000" w:rsidDel="00000000" w:rsidP="00000000" w:rsidRDefault="00000000" w:rsidRPr="00000000" w14:paraId="0000017E">
            <w:pPr>
              <w:spacing w:after="0" w:line="240" w:lineRule="auto"/>
              <w:rPr>
                <w:rFonts w:ascii="Arial" w:cs="Arial" w:eastAsia="Arial" w:hAnsi="Arial"/>
                <w:i w:val="1"/>
                <w:color w:val="000000"/>
                <w:sz w:val="12"/>
                <w:szCs w:val="12"/>
              </w:rPr>
            </w:pPr>
            <w:r w:rsidDel="00000000" w:rsidR="00000000" w:rsidRPr="00000000">
              <w:rPr>
                <w:rFonts w:ascii="Arial" w:cs="Arial" w:eastAsia="Arial" w:hAnsi="Arial"/>
                <w:i w:val="1"/>
                <w:color w:val="000000"/>
                <w:sz w:val="12"/>
                <w:szCs w:val="12"/>
                <w:rtl w:val="0"/>
              </w:rPr>
              <w:t xml:space="preserve">Obtenida del Inventario Estatal Forestal y de Suelos (CONAFOR, 2013), * La superficie continental se actualizó al Marco geoestadístico nacional de INEGI (2023).</w:t>
            </w:r>
          </w:p>
        </w:tc>
      </w:tr>
    </w:tbl>
    <w:p w:rsidR="00000000" w:rsidDel="00000000" w:rsidP="00000000" w:rsidRDefault="00000000" w:rsidRPr="00000000" w14:paraId="00000181">
      <w:pPr>
        <w:pStyle w:val="Heading2"/>
        <w:rPr>
          <w:color w:val="135b42"/>
          <w:sz w:val="22"/>
          <w:szCs w:val="22"/>
        </w:rPr>
      </w:pPr>
      <w:bookmarkStart w:colFirst="0" w:colLast="0" w:name="_heading=h.nbhe5invjl9i" w:id="14"/>
      <w:bookmarkEnd w:id="14"/>
      <w:r w:rsidDel="00000000" w:rsidR="00000000" w:rsidRPr="00000000">
        <w:rPr>
          <w:color w:val="135b42"/>
          <w:sz w:val="22"/>
          <w:szCs w:val="22"/>
          <w:rtl w:val="0"/>
        </w:rPr>
        <w:t xml:space="preserve">Superficie forestal de México</w:t>
      </w:r>
    </w:p>
    <w:p w:rsidR="00000000" w:rsidDel="00000000" w:rsidP="00000000" w:rsidRDefault="00000000" w:rsidRPr="00000000" w14:paraId="00000182">
      <w:pPr>
        <w:spacing w:after="120"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superficie forestal tiene impacto en la elaboración del MAPPCIF24 al representar áreas ricas en biodiversidad, representan el área de estudio de interés dado el efecto que se pueden derivar de los incendios forestales (i.e. positivo y/o negativo), así como de las acciones preventivas de acuerdo al tipo de ecosistema. Estas áreas no forestales ocupan 57.6 millones de ha (Mha) de la superficie total de nuestro país, dentro de estas se consideran: agricultura, asentamientos humanos y cuerpos de agua (Cuadro 4).</w:t>
      </w:r>
    </w:p>
    <w:p w:rsidR="00000000" w:rsidDel="00000000" w:rsidP="00000000" w:rsidRDefault="00000000" w:rsidRPr="00000000" w14:paraId="00000183">
      <w:pPr>
        <w:spacing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superficie forestal, de acuerdo con INEGI (2021) representa el 71 % de la superficie total que ocupa nuestro país (Cuadro 4). La distribución por tipo de vegetación nos indica que las zonas áridas y semiáridas abarcan la mayor parte de la superficie forestal (18 y 10 % respectivamente de la superficie total nacional; 25 y 15 % de la superficie forestal). Los matorrales desérticos micrófilos predominan en las zonas áridas (15 % de la superficie forestal en México).</w:t>
      </w:r>
    </w:p>
    <w:p w:rsidR="00000000" w:rsidDel="00000000" w:rsidP="00000000" w:rsidRDefault="00000000" w:rsidRPr="00000000" w14:paraId="00000184">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presencia predominante de zonas áridas y semiáridas en estados como Sonora, Chihuahua y Coahuila subraya la importancia de enfoques específicos para estas regiones, dado que estas áreas suelen ser susceptibles a incendios de gran intensidad. </w:t>
      </w:r>
    </w:p>
    <w:p w:rsidR="00000000" w:rsidDel="00000000" w:rsidP="00000000" w:rsidRDefault="00000000" w:rsidRPr="00000000" w14:paraId="00000185">
      <w:pPr>
        <w:spacing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Las selvas (bajas, medianas y altas) representan el 15 % de la superficie total, siendo cruciales por su biodiversidad y el impacto que tienen derivado a los incendios. Su distribución prácticamente es sobre todo el país, principalmente en la península de Yucatán, desde la costa sur hasta el norte en el estado de Sonora, Durango y Sinaloa (INEGI, 2021).</w:t>
      </w:r>
    </w:p>
    <w:p w:rsidR="00000000" w:rsidDel="00000000" w:rsidP="00000000" w:rsidRDefault="00000000" w:rsidRPr="00000000" w14:paraId="00000186">
      <w:pPr>
        <w:spacing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Las formaciones de coníferas y latifoliadas conforman casi el 11% de la superficie, donde predominan los bosques de pino y encino-pino, estas se distribuyen en la Sierra Madre Occidental primordialmente en el estado de Chihuahua y Durango, el Eje Neovolcánico y la Sierra Sur en los estados de Jalisco, Michoacán, Guerrero y Oaxaca. Estas formaciones son importantes, ya que aquí ocurren la mayor parte de los incendios forestales en nuestro país, que bajo un enfoque integral no se busca reducir los incendios sino la severidad extrema mediante diferentes actividades de prevención.</w:t>
      </w:r>
    </w:p>
    <w:p w:rsidR="00000000" w:rsidDel="00000000" w:rsidP="00000000" w:rsidRDefault="00000000" w:rsidRPr="00000000" w14:paraId="00000187">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1361" cy="3968114"/>
            <wp:effectExtent b="0" l="0" r="0" t="0"/>
            <wp:docPr id="2101763737"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5611361" cy="3968114"/>
                    </a:xfrm>
                    <a:prstGeom prst="rect"/>
                    <a:ln/>
                  </pic:spPr>
                </pic:pic>
              </a:graphicData>
            </a:graphic>
          </wp:inline>
        </w:drawing>
      </w:r>
      <w:r w:rsidDel="00000000" w:rsidR="00000000" w:rsidRPr="00000000">
        <w:rPr>
          <w:rtl w:val="0"/>
        </w:rPr>
      </w:r>
    </w:p>
    <w:p w:rsidR="00000000" w:rsidDel="00000000" w:rsidP="00000000" w:rsidRDefault="00000000" w:rsidRPr="00000000" w14:paraId="00000188">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1. Formaciones vegetales propuestas por la CONAFOR (2013), adaptadas a la serie VII de INEGI (2018).</w:t>
      </w:r>
    </w:p>
    <w:p w:rsidR="00000000" w:rsidDel="00000000" w:rsidP="00000000" w:rsidRDefault="00000000" w:rsidRPr="00000000" w14:paraId="00000189">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En la </w:t>
      </w:r>
      <w:r w:rsidDel="00000000" w:rsidR="00000000" w:rsidRPr="00000000">
        <w:rPr>
          <w:rFonts w:ascii="Arial" w:cs="Arial" w:eastAsia="Arial" w:hAnsi="Arial"/>
          <w:sz w:val="18"/>
          <w:szCs w:val="18"/>
          <w:rtl w:val="0"/>
        </w:rPr>
        <w:t xml:space="preserve">Figura 2</w:t>
      </w:r>
      <w:r w:rsidDel="00000000" w:rsidR="00000000" w:rsidRPr="00000000">
        <w:rPr>
          <w:rFonts w:ascii="Arial" w:cs="Arial" w:eastAsia="Arial" w:hAnsi="Arial"/>
          <w:sz w:val="20"/>
          <w:szCs w:val="20"/>
          <w:rtl w:val="0"/>
        </w:rPr>
        <w:t xml:space="preserve">, se muestra la proporción que ocupa de cada formación vegetal de acuerdo con la superficie forestal de cada estado y en la columna lateral derecha, se indica el porcentaje de la superficie forestal con respecto a la superficie estatal. </w:t>
      </w:r>
    </w:p>
    <w:p w:rsidR="00000000" w:rsidDel="00000000" w:rsidP="00000000" w:rsidRDefault="00000000" w:rsidRPr="00000000" w14:paraId="0000018A">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Estados como Baja California Sur, Coahuila de Zaragoza y Chihuahua se destacan por tener altas proporciones de superficie forestal (93.5, 90.1 y 87.2 % respectivamente), lo que puede implicar una alta necesidad de estrategias robustas de prevención y combate de incendios forestales. </w:t>
      </w:r>
    </w:p>
    <w:p w:rsidR="00000000" w:rsidDel="00000000" w:rsidP="00000000" w:rsidRDefault="00000000" w:rsidRPr="00000000" w14:paraId="0000018B">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Por otro lado, estados como Veracruz y Tlaxcala presentan menores proporciones de superficie forestal (20.3 y 18.4% respectivamente), sugiriendo diferentes prioridades para su manejo y conservación en términos de sustentabilidad. Se han encontrado 55 tipos de vegetación, de los cuales los estados que mayor diversidad vegetal cuentan son Tamaulipas, Veracruz y Sinaloa con 30, 29, 28 respectivamente; así como Jalisco, Oaxaca y Sonora cuentan con 27 tipos.</w:t>
      </w:r>
    </w:p>
    <w:p w:rsidR="00000000" w:rsidDel="00000000" w:rsidP="00000000" w:rsidRDefault="00000000" w:rsidRPr="00000000" w14:paraId="0000018C">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8D">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lnxbz9" w:id="15"/>
      <w:bookmarkEnd w:id="15"/>
      <w:r w:rsidDel="00000000" w:rsidR="00000000" w:rsidRPr="00000000">
        <w:rPr>
          <w:rFonts w:ascii="Arial" w:cs="Arial" w:eastAsia="Arial" w:hAnsi="Arial"/>
          <w:i w:val="1"/>
          <w:color w:val="0e2841"/>
          <w:sz w:val="20"/>
          <w:szCs w:val="20"/>
          <w:rtl w:val="0"/>
        </w:rPr>
        <w:t xml:space="preserve">Cuadro 4. Superficie por formación y tipo de vegetación vectorial de México</w:t>
      </w:r>
    </w:p>
    <w:p w:rsidR="00000000" w:rsidDel="00000000" w:rsidP="00000000" w:rsidRDefault="00000000" w:rsidRPr="00000000" w14:paraId="0000018E">
      <w:pPr>
        <w:jc w:val="both"/>
        <w:rPr>
          <w:rFonts w:ascii="Arial" w:cs="Arial" w:eastAsia="Arial" w:hAnsi="Arial"/>
          <w:b w:val="1"/>
          <w:sz w:val="20"/>
          <w:szCs w:val="20"/>
        </w:rPr>
      </w:pPr>
      <w:r w:rsidDel="00000000" w:rsidR="00000000" w:rsidRPr="00000000">
        <w:rPr>
          <w:rFonts w:ascii="Arial" w:cs="Arial" w:eastAsia="Arial" w:hAnsi="Arial"/>
          <w:sz w:val="20"/>
          <w:szCs w:val="20"/>
        </w:rPr>
        <w:drawing>
          <wp:inline distB="0" distT="0" distL="0" distR="0">
            <wp:extent cx="5635748" cy="6697417"/>
            <wp:effectExtent b="0" l="0" r="0" t="0"/>
            <wp:docPr id="2101763736" name="image12.png"/>
            <a:graphic>
              <a:graphicData uri="http://schemas.openxmlformats.org/drawingml/2006/picture">
                <pic:pic>
                  <pic:nvPicPr>
                    <pic:cNvPr id="0" name="image12.png"/>
                    <pic:cNvPicPr preferRelativeResize="0"/>
                  </pic:nvPicPr>
                  <pic:blipFill>
                    <a:blip r:embed="rId14"/>
                    <a:srcRect b="0" l="0" r="0" t="0"/>
                    <a:stretch>
                      <a:fillRect/>
                    </a:stretch>
                  </pic:blipFill>
                  <pic:spPr>
                    <a:xfrm>
                      <a:off x="0" y="0"/>
                      <a:ext cx="5635748" cy="6697417"/>
                    </a:xfrm>
                    <a:prstGeom prst="rect"/>
                    <a:ln/>
                  </pic:spPr>
                </pic:pic>
              </a:graphicData>
            </a:graphic>
          </wp:inline>
        </w:drawing>
      </w:r>
      <w:r w:rsidDel="00000000" w:rsidR="00000000" w:rsidRPr="00000000">
        <w:rPr>
          <w:rtl w:val="0"/>
        </w:rPr>
      </w:r>
    </w:p>
    <w:p w:rsidR="00000000" w:rsidDel="00000000" w:rsidP="00000000" w:rsidRDefault="00000000" w:rsidRPr="00000000" w14:paraId="0000018F">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90">
      <w:pPr>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91">
      <w:pPr>
        <w:spacing w:after="0" w:lineRule="auto"/>
        <w:jc w:val="both"/>
        <w:rPr>
          <w:rFonts w:ascii="Arial" w:cs="Arial" w:eastAsia="Arial" w:hAnsi="Arial"/>
          <w:b w:val="1"/>
          <w:sz w:val="20"/>
          <w:szCs w:val="20"/>
        </w:rPr>
      </w:pPr>
      <w:r w:rsidDel="00000000" w:rsidR="00000000" w:rsidRPr="00000000">
        <w:rPr>
          <w:rFonts w:ascii="Arial" w:cs="Arial" w:eastAsia="Arial" w:hAnsi="Arial"/>
          <w:b w:val="1"/>
          <w:sz w:val="20"/>
          <w:szCs w:val="20"/>
        </w:rPr>
        <w:drawing>
          <wp:inline distB="0" distT="0" distL="0" distR="0">
            <wp:extent cx="5628506" cy="5643851"/>
            <wp:effectExtent b="0" l="0" r="0" t="0"/>
            <wp:docPr id="2101763739"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5628506" cy="5643851"/>
                    </a:xfrm>
                    <a:prstGeom prst="rect"/>
                    <a:ln/>
                  </pic:spPr>
                </pic:pic>
              </a:graphicData>
            </a:graphic>
          </wp:inline>
        </w:drawing>
      </w:r>
      <w:r w:rsidDel="00000000" w:rsidR="00000000" w:rsidRPr="00000000">
        <w:rPr>
          <w:rtl w:val="0"/>
        </w:rPr>
      </w:r>
    </w:p>
    <w:p w:rsidR="00000000" w:rsidDel="00000000" w:rsidP="00000000" w:rsidRDefault="00000000" w:rsidRPr="00000000" w14:paraId="00000192">
      <w:pPr>
        <w:keepNext w:val="1"/>
        <w:pBdr>
          <w:top w:space="0" w:sz="0" w:val="nil"/>
          <w:left w:space="0" w:sz="0" w:val="nil"/>
          <w:bottom w:space="0" w:sz="0" w:val="nil"/>
          <w:right w:space="0" w:sz="0" w:val="nil"/>
          <w:between w:space="0" w:sz="0" w:val="nil"/>
        </w:pBdr>
        <w:spacing w:after="40" w:line="240" w:lineRule="auto"/>
        <w:jc w:val="both"/>
        <w:rPr>
          <w:rFonts w:ascii="Arial" w:cs="Arial" w:eastAsia="Arial" w:hAnsi="Arial"/>
          <w:i w:val="1"/>
          <w:color w:val="0e2841"/>
          <w:sz w:val="18"/>
          <w:szCs w:val="18"/>
        </w:rPr>
      </w:pPr>
      <w:bookmarkStart w:colFirst="0" w:colLast="0" w:name="_heading=h.35nkun2" w:id="16"/>
      <w:bookmarkEnd w:id="16"/>
      <w:r w:rsidDel="00000000" w:rsidR="00000000" w:rsidRPr="00000000">
        <w:rPr>
          <w:rFonts w:ascii="Arial" w:cs="Arial" w:eastAsia="Arial" w:hAnsi="Arial"/>
          <w:i w:val="1"/>
          <w:color w:val="0e2841"/>
          <w:sz w:val="18"/>
          <w:szCs w:val="18"/>
          <w:rtl w:val="0"/>
        </w:rPr>
        <w:t xml:space="preserve">Figura 2. Proporción superficial forestal de cada estado de la República. </w:t>
      </w:r>
      <w:r w:rsidDel="00000000" w:rsidR="00000000" w:rsidRPr="00000000">
        <w:rPr>
          <w:rFonts w:ascii="Arial" w:cs="Arial" w:eastAsia="Arial" w:hAnsi="Arial"/>
          <w:b w:val="1"/>
          <w:i w:val="1"/>
          <w:color w:val="0e2841"/>
          <w:sz w:val="18"/>
          <w:szCs w:val="18"/>
          <w:rtl w:val="0"/>
        </w:rPr>
        <w:t xml:space="preserve">CON</w:t>
      </w:r>
      <w:r w:rsidDel="00000000" w:rsidR="00000000" w:rsidRPr="00000000">
        <w:rPr>
          <w:rFonts w:ascii="Arial" w:cs="Arial" w:eastAsia="Arial" w:hAnsi="Arial"/>
          <w:i w:val="1"/>
          <w:color w:val="0e2841"/>
          <w:sz w:val="18"/>
          <w:szCs w:val="18"/>
          <w:rtl w:val="0"/>
        </w:rPr>
        <w:t xml:space="preserve"> = Coníferas, </w:t>
      </w:r>
      <w:r w:rsidDel="00000000" w:rsidR="00000000" w:rsidRPr="00000000">
        <w:rPr>
          <w:rFonts w:ascii="Arial" w:cs="Arial" w:eastAsia="Arial" w:hAnsi="Arial"/>
          <w:b w:val="1"/>
          <w:i w:val="1"/>
          <w:color w:val="0e2841"/>
          <w:sz w:val="18"/>
          <w:szCs w:val="18"/>
          <w:rtl w:val="0"/>
        </w:rPr>
        <w:t xml:space="preserve">CYF</w:t>
      </w:r>
      <w:r w:rsidDel="00000000" w:rsidR="00000000" w:rsidRPr="00000000">
        <w:rPr>
          <w:rFonts w:ascii="Arial" w:cs="Arial" w:eastAsia="Arial" w:hAnsi="Arial"/>
          <w:i w:val="1"/>
          <w:color w:val="0e2841"/>
          <w:sz w:val="18"/>
          <w:szCs w:val="18"/>
          <w:rtl w:val="0"/>
        </w:rPr>
        <w:t xml:space="preserve"> = Coníferas y latifoliadas, </w:t>
      </w:r>
      <w:r w:rsidDel="00000000" w:rsidR="00000000" w:rsidRPr="00000000">
        <w:rPr>
          <w:rFonts w:ascii="Arial" w:cs="Arial" w:eastAsia="Arial" w:hAnsi="Arial"/>
          <w:b w:val="1"/>
          <w:i w:val="1"/>
          <w:color w:val="0e2841"/>
          <w:sz w:val="18"/>
          <w:szCs w:val="18"/>
          <w:rtl w:val="0"/>
        </w:rPr>
        <w:t xml:space="preserve">LAT</w:t>
      </w:r>
      <w:r w:rsidDel="00000000" w:rsidR="00000000" w:rsidRPr="00000000">
        <w:rPr>
          <w:rFonts w:ascii="Arial" w:cs="Arial" w:eastAsia="Arial" w:hAnsi="Arial"/>
          <w:i w:val="1"/>
          <w:color w:val="0e2841"/>
          <w:sz w:val="18"/>
          <w:szCs w:val="18"/>
          <w:rtl w:val="0"/>
        </w:rPr>
        <w:t xml:space="preserve"> = Latifoliadas, BME =</w:t>
      </w:r>
      <w:r w:rsidDel="00000000" w:rsidR="00000000" w:rsidRPr="00000000">
        <w:rPr>
          <w:rFonts w:ascii="Arial" w:cs="Arial" w:eastAsia="Arial" w:hAnsi="Arial"/>
          <w:i w:val="1"/>
          <w:color w:val="0e2841"/>
          <w:sz w:val="12"/>
          <w:szCs w:val="12"/>
          <w:rtl w:val="0"/>
        </w:rPr>
        <w:t xml:space="preserve"> </w:t>
      </w:r>
      <w:r w:rsidDel="00000000" w:rsidR="00000000" w:rsidRPr="00000000">
        <w:rPr>
          <w:rFonts w:ascii="Arial" w:cs="Arial" w:eastAsia="Arial" w:hAnsi="Arial"/>
          <w:i w:val="1"/>
          <w:color w:val="0e2841"/>
          <w:sz w:val="18"/>
          <w:szCs w:val="18"/>
          <w:rtl w:val="0"/>
        </w:rPr>
        <w:t xml:space="preserve">Bosque mesófilo de montaña, </w:t>
      </w:r>
      <w:r w:rsidDel="00000000" w:rsidR="00000000" w:rsidRPr="00000000">
        <w:rPr>
          <w:rFonts w:ascii="Arial" w:cs="Arial" w:eastAsia="Arial" w:hAnsi="Arial"/>
          <w:b w:val="1"/>
          <w:i w:val="1"/>
          <w:color w:val="0e2841"/>
          <w:sz w:val="18"/>
          <w:szCs w:val="18"/>
          <w:rtl w:val="0"/>
        </w:rPr>
        <w:t xml:space="preserve">MAN</w:t>
      </w:r>
      <w:r w:rsidDel="00000000" w:rsidR="00000000" w:rsidRPr="00000000">
        <w:rPr>
          <w:rFonts w:ascii="Arial" w:cs="Arial" w:eastAsia="Arial" w:hAnsi="Arial"/>
          <w:i w:val="1"/>
          <w:color w:val="0e2841"/>
          <w:sz w:val="18"/>
          <w:szCs w:val="18"/>
          <w:rtl w:val="0"/>
        </w:rPr>
        <w:t xml:space="preserve"> = Manglar, </w:t>
      </w:r>
      <w:r w:rsidDel="00000000" w:rsidR="00000000" w:rsidRPr="00000000">
        <w:rPr>
          <w:rFonts w:ascii="Arial" w:cs="Arial" w:eastAsia="Arial" w:hAnsi="Arial"/>
          <w:b w:val="1"/>
          <w:i w:val="1"/>
          <w:color w:val="0e2841"/>
          <w:sz w:val="18"/>
          <w:szCs w:val="18"/>
          <w:rtl w:val="0"/>
        </w:rPr>
        <w:t xml:space="preserve">OAF</w:t>
      </w:r>
      <w:r w:rsidDel="00000000" w:rsidR="00000000" w:rsidRPr="00000000">
        <w:rPr>
          <w:rFonts w:ascii="Arial" w:cs="Arial" w:eastAsia="Arial" w:hAnsi="Arial"/>
          <w:i w:val="1"/>
          <w:color w:val="0e2841"/>
          <w:sz w:val="18"/>
          <w:szCs w:val="18"/>
          <w:rtl w:val="0"/>
        </w:rPr>
        <w:t xml:space="preserve"> = Otras áreas forestales, </w:t>
      </w:r>
      <w:r w:rsidDel="00000000" w:rsidR="00000000" w:rsidRPr="00000000">
        <w:rPr>
          <w:rFonts w:ascii="Arial" w:cs="Arial" w:eastAsia="Arial" w:hAnsi="Arial"/>
          <w:b w:val="1"/>
          <w:i w:val="1"/>
          <w:color w:val="0e2841"/>
          <w:sz w:val="18"/>
          <w:szCs w:val="18"/>
          <w:rtl w:val="0"/>
        </w:rPr>
        <w:t xml:space="preserve">OAS</w:t>
      </w:r>
      <w:r w:rsidDel="00000000" w:rsidR="00000000" w:rsidRPr="00000000">
        <w:rPr>
          <w:rFonts w:ascii="Arial" w:cs="Arial" w:eastAsia="Arial" w:hAnsi="Arial"/>
          <w:i w:val="1"/>
          <w:color w:val="0e2841"/>
          <w:sz w:val="18"/>
          <w:szCs w:val="18"/>
          <w:rtl w:val="0"/>
        </w:rPr>
        <w:t xml:space="preserve"> = Otras asociaciones, </w:t>
      </w:r>
      <w:r w:rsidDel="00000000" w:rsidR="00000000" w:rsidRPr="00000000">
        <w:rPr>
          <w:rFonts w:ascii="Arial" w:cs="Arial" w:eastAsia="Arial" w:hAnsi="Arial"/>
          <w:b w:val="1"/>
          <w:i w:val="1"/>
          <w:color w:val="0e2841"/>
          <w:sz w:val="18"/>
          <w:szCs w:val="18"/>
          <w:rtl w:val="0"/>
        </w:rPr>
        <w:t xml:space="preserve">SAM</w:t>
      </w:r>
      <w:r w:rsidDel="00000000" w:rsidR="00000000" w:rsidRPr="00000000">
        <w:rPr>
          <w:rFonts w:ascii="Arial" w:cs="Arial" w:eastAsia="Arial" w:hAnsi="Arial"/>
          <w:i w:val="1"/>
          <w:color w:val="0e2841"/>
          <w:sz w:val="18"/>
          <w:szCs w:val="18"/>
          <w:rtl w:val="0"/>
        </w:rPr>
        <w:t xml:space="preserve"> = Selvas altas y medianas, </w:t>
      </w:r>
      <w:r w:rsidDel="00000000" w:rsidR="00000000" w:rsidRPr="00000000">
        <w:rPr>
          <w:rFonts w:ascii="Arial" w:cs="Arial" w:eastAsia="Arial" w:hAnsi="Arial"/>
          <w:b w:val="1"/>
          <w:i w:val="1"/>
          <w:color w:val="0e2841"/>
          <w:sz w:val="18"/>
          <w:szCs w:val="18"/>
          <w:rtl w:val="0"/>
        </w:rPr>
        <w:t xml:space="preserve">SBJ</w:t>
      </w:r>
      <w:r w:rsidDel="00000000" w:rsidR="00000000" w:rsidRPr="00000000">
        <w:rPr>
          <w:rFonts w:ascii="Arial" w:cs="Arial" w:eastAsia="Arial" w:hAnsi="Arial"/>
          <w:i w:val="1"/>
          <w:color w:val="0e2841"/>
          <w:sz w:val="18"/>
          <w:szCs w:val="18"/>
          <w:rtl w:val="0"/>
        </w:rPr>
        <w:t xml:space="preserve"> = Selvas bajas, </w:t>
      </w:r>
      <w:r w:rsidDel="00000000" w:rsidR="00000000" w:rsidRPr="00000000">
        <w:rPr>
          <w:rFonts w:ascii="Arial" w:cs="Arial" w:eastAsia="Arial" w:hAnsi="Arial"/>
          <w:b w:val="1"/>
          <w:i w:val="1"/>
          <w:color w:val="0e2841"/>
          <w:sz w:val="18"/>
          <w:szCs w:val="18"/>
          <w:rtl w:val="0"/>
        </w:rPr>
        <w:t xml:space="preserve">ZAR</w:t>
      </w:r>
      <w:r w:rsidDel="00000000" w:rsidR="00000000" w:rsidRPr="00000000">
        <w:rPr>
          <w:rFonts w:ascii="Arial" w:cs="Arial" w:eastAsia="Arial" w:hAnsi="Arial"/>
          <w:i w:val="1"/>
          <w:color w:val="0e2841"/>
          <w:sz w:val="18"/>
          <w:szCs w:val="18"/>
          <w:rtl w:val="0"/>
        </w:rPr>
        <w:t xml:space="preserve"> = Zonas áridas, </w:t>
      </w:r>
      <w:r w:rsidDel="00000000" w:rsidR="00000000" w:rsidRPr="00000000">
        <w:rPr>
          <w:rFonts w:ascii="Arial" w:cs="Arial" w:eastAsia="Arial" w:hAnsi="Arial"/>
          <w:b w:val="1"/>
          <w:i w:val="1"/>
          <w:color w:val="0e2841"/>
          <w:sz w:val="18"/>
          <w:szCs w:val="18"/>
          <w:rtl w:val="0"/>
        </w:rPr>
        <w:t xml:space="preserve">ZSA</w:t>
      </w:r>
      <w:r w:rsidDel="00000000" w:rsidR="00000000" w:rsidRPr="00000000">
        <w:rPr>
          <w:rFonts w:ascii="Arial" w:cs="Arial" w:eastAsia="Arial" w:hAnsi="Arial"/>
          <w:i w:val="1"/>
          <w:color w:val="0e2841"/>
          <w:sz w:val="18"/>
          <w:szCs w:val="18"/>
          <w:rtl w:val="0"/>
        </w:rPr>
        <w:t xml:space="preserve"> = Zonas semiáridas. La cifra de la columna derecha al final de cada barra estatal, representa la proporción forestal de acuerdo con la superficie estatal. </w:t>
      </w:r>
    </w:p>
    <w:p w:rsidR="00000000" w:rsidDel="00000000" w:rsidP="00000000" w:rsidRDefault="00000000" w:rsidRPr="00000000" w14:paraId="00000193">
      <w:pPr>
        <w:spacing w:after="120" w:befor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Para generar el mapa final que se describe en los apartados posteriores, se implementa únicamente bajo superficie forestal. Las áreas no forestales representan principalmente coberturas de uso de suelo como agricultura, suelo desnudo y cuerpos de agua (Figura 3). Estas se determinaron de los siguientes insumos: </w:t>
      </w:r>
    </w:p>
    <w:p w:rsidR="00000000" w:rsidDel="00000000" w:rsidP="00000000" w:rsidRDefault="00000000" w:rsidRPr="00000000" w14:paraId="00000194">
      <w:pPr>
        <w:numPr>
          <w:ilvl w:val="0"/>
          <w:numId w:val="2"/>
        </w:numPr>
        <w:pBdr>
          <w:top w:space="0" w:sz="0" w:val="nil"/>
          <w:left w:space="0" w:sz="0" w:val="nil"/>
          <w:bottom w:space="0" w:sz="0" w:val="nil"/>
          <w:right w:space="0" w:sz="0" w:val="nil"/>
          <w:between w:space="0" w:sz="0" w:val="nil"/>
        </w:pBdr>
        <w:spacing w:after="0" w:before="120" w:lineRule="auto"/>
        <w:ind w:left="720" w:hanging="360"/>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Serie VII de uso de suelo y vegetación generada por INEGI (2021), en el Cuadro 4, se muestran las superficies por formaciones y tipos de vegetación que se consideran en México propuestas tanto por INEGI como en la CONAFOR (2013). </w:t>
      </w:r>
    </w:p>
    <w:p w:rsidR="00000000" w:rsidDel="00000000" w:rsidP="00000000" w:rsidRDefault="00000000" w:rsidRPr="00000000" w14:paraId="00000195">
      <w:pPr>
        <w:numPr>
          <w:ilvl w:val="0"/>
          <w:numId w:val="2"/>
        </w:numPr>
        <w:pBdr>
          <w:top w:space="0" w:sz="0" w:val="nil"/>
          <w:left w:space="0" w:sz="0" w:val="nil"/>
          <w:bottom w:space="0" w:sz="0" w:val="nil"/>
          <w:right w:space="0" w:sz="0" w:val="nil"/>
          <w:between w:space="0" w:sz="0" w:val="nil"/>
        </w:pBdr>
        <w:spacing w:after="0" w:lineRule="auto"/>
        <w:ind w:left="720" w:hanging="360"/>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Coberturas de asentamientos urbanos, carreteras, cuerpos de agua de la capa MADMEX propuesta por CONABIO (2018) a una resolución de 10 m. </w:t>
      </w:r>
    </w:p>
    <w:p w:rsidR="00000000" w:rsidDel="00000000" w:rsidP="00000000" w:rsidRDefault="00000000" w:rsidRPr="00000000" w14:paraId="00000196">
      <w:pPr>
        <w:numPr>
          <w:ilvl w:val="0"/>
          <w:numId w:val="2"/>
        </w:numPr>
        <w:pBdr>
          <w:top w:space="0" w:sz="0" w:val="nil"/>
          <w:left w:space="0" w:sz="0" w:val="nil"/>
          <w:bottom w:space="0" w:sz="0" w:val="nil"/>
          <w:right w:space="0" w:sz="0" w:val="nil"/>
          <w:between w:space="0" w:sz="0" w:val="nil"/>
        </w:pBdr>
        <w:ind w:left="720" w:hanging="360"/>
        <w:jc w:val="both"/>
        <w:rPr>
          <w:rFonts w:ascii="Arial" w:cs="Arial" w:eastAsia="Arial" w:hAnsi="Arial"/>
          <w:color w:val="000000"/>
          <w:sz w:val="20"/>
          <w:szCs w:val="20"/>
        </w:rPr>
      </w:pPr>
      <w:bookmarkStart w:colFirst="0" w:colLast="0" w:name="_heading=h.1ksv4uv" w:id="17"/>
      <w:bookmarkEnd w:id="17"/>
      <w:r w:rsidDel="00000000" w:rsidR="00000000" w:rsidRPr="00000000">
        <w:rPr>
          <w:rFonts w:ascii="Arial" w:cs="Arial" w:eastAsia="Arial" w:hAnsi="Arial"/>
          <w:color w:val="000000"/>
          <w:sz w:val="20"/>
          <w:szCs w:val="20"/>
          <w:rtl w:val="0"/>
        </w:rPr>
        <w:t xml:space="preserve">Interfaz agrícola-forestal del Registro Agrario Nacional (ver Cuadro 5). </w:t>
      </w:r>
    </w:p>
    <w:p w:rsidR="00000000" w:rsidDel="00000000" w:rsidP="00000000" w:rsidRDefault="00000000" w:rsidRPr="00000000" w14:paraId="00000197">
      <w:pPr>
        <w:spacing w:after="0"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Esto se debe a que no son objeto de análisis de efectos en la vegetación forestal. Las fuentes antes mencionadas se muestran en el Cuadro 5. </w:t>
      </w:r>
    </w:p>
    <w:tbl>
      <w:tblPr>
        <w:tblStyle w:val="Table4"/>
        <w:tblpPr w:leftFromText="141" w:rightFromText="141" w:topFromText="0" w:bottomFromText="0" w:vertAnchor="text" w:horzAnchor="text" w:tblpX="0" w:tblpY="186"/>
        <w:tblW w:w="8838.0" w:type="dxa"/>
        <w:jc w:val="left"/>
        <w:tblLayout w:type="fixed"/>
        <w:tblLook w:val="0400"/>
      </w:tblPr>
      <w:tblGrid>
        <w:gridCol w:w="1418"/>
        <w:gridCol w:w="1701"/>
        <w:gridCol w:w="5719"/>
        <w:tblGridChange w:id="0">
          <w:tblGrid>
            <w:gridCol w:w="1418"/>
            <w:gridCol w:w="1701"/>
            <w:gridCol w:w="5719"/>
          </w:tblGrid>
        </w:tblGridChange>
      </w:tblGrid>
      <w:tr>
        <w:trPr>
          <w:cantSplit w:val="0"/>
          <w:trHeight w:val="20" w:hRule="atLeast"/>
          <w:tblHeader w:val="0"/>
        </w:trPr>
        <w:tc>
          <w:tcPr>
            <w:gridSpan w:val="3"/>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98">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44sinio" w:id="18"/>
            <w:bookmarkEnd w:id="18"/>
            <w:r w:rsidDel="00000000" w:rsidR="00000000" w:rsidRPr="00000000">
              <w:rPr>
                <w:rFonts w:ascii="Arial" w:cs="Arial" w:eastAsia="Arial" w:hAnsi="Arial"/>
                <w:i w:val="1"/>
                <w:color w:val="0e2841"/>
                <w:sz w:val="20"/>
                <w:szCs w:val="20"/>
                <w:rtl w:val="0"/>
              </w:rPr>
              <w:t xml:space="preserve">Cuadro 5. Fuentes geoespaciales disponibles para determinar áreas no forestales en México.</w:t>
            </w:r>
          </w:p>
        </w:tc>
      </w:tr>
      <w:tr>
        <w:trPr>
          <w:cantSplit w:val="0"/>
          <w:trHeight w:val="20" w:hRule="atLeast"/>
          <w:tblHeader w:val="0"/>
        </w:trPr>
        <w:tc>
          <w:tcPr>
            <w:tcBorders>
              <w:top w:color="000000" w:space="0" w:sz="0" w:val="nil"/>
              <w:left w:color="ffffff" w:space="0" w:sz="4" w:val="single"/>
              <w:bottom w:color="000000" w:space="0" w:sz="0" w:val="nil"/>
              <w:right w:color="ffffff" w:space="0" w:sz="4" w:val="single"/>
            </w:tcBorders>
            <w:shd w:fill="auto" w:val="clear"/>
            <w:vAlign w:val="center"/>
          </w:tcPr>
          <w:p w:rsidR="00000000" w:rsidDel="00000000" w:rsidP="00000000" w:rsidRDefault="00000000" w:rsidRPr="00000000" w14:paraId="0000019B">
            <w:pPr>
              <w:spacing w:after="0" w:line="240" w:lineRule="auto"/>
              <w:jc w:val="center"/>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FUENTE</w:t>
            </w:r>
          </w:p>
        </w:tc>
        <w:tc>
          <w:tcPr>
            <w:tcBorders>
              <w:top w:color="000000" w:space="0" w:sz="0" w:val="nil"/>
              <w:left w:color="000000" w:space="0" w:sz="0" w:val="nil"/>
              <w:bottom w:color="000000" w:space="0" w:sz="0" w:val="nil"/>
              <w:right w:color="ffffff" w:space="0" w:sz="4" w:val="single"/>
            </w:tcBorders>
            <w:shd w:fill="auto" w:val="clear"/>
            <w:vAlign w:val="center"/>
          </w:tcPr>
          <w:p w:rsidR="00000000" w:rsidDel="00000000" w:rsidP="00000000" w:rsidRDefault="00000000" w:rsidRPr="00000000" w14:paraId="0000019C">
            <w:pPr>
              <w:spacing w:after="0" w:line="240" w:lineRule="auto"/>
              <w:jc w:val="center"/>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CAPA</w:t>
            </w:r>
          </w:p>
        </w:tc>
        <w:tc>
          <w:tcPr>
            <w:tcBorders>
              <w:top w:color="000000" w:space="0" w:sz="0" w:val="nil"/>
              <w:left w:color="000000" w:space="0" w:sz="0" w:val="nil"/>
              <w:bottom w:color="000000" w:space="0" w:sz="0" w:val="nil"/>
              <w:right w:color="ffffff" w:space="0" w:sz="4" w:val="single"/>
            </w:tcBorders>
            <w:shd w:fill="auto" w:val="clear"/>
            <w:vAlign w:val="center"/>
          </w:tcPr>
          <w:p w:rsidR="00000000" w:rsidDel="00000000" w:rsidP="00000000" w:rsidRDefault="00000000" w:rsidRPr="00000000" w14:paraId="0000019D">
            <w:pPr>
              <w:spacing w:after="0" w:line="240" w:lineRule="auto"/>
              <w:jc w:val="center"/>
              <w:rPr>
                <w:rFonts w:ascii="Arial" w:cs="Arial" w:eastAsia="Arial" w:hAnsi="Arial"/>
                <w:b w:val="1"/>
                <w:color w:val="000000"/>
                <w:sz w:val="16"/>
                <w:szCs w:val="16"/>
              </w:rPr>
            </w:pPr>
            <w:r w:rsidDel="00000000" w:rsidR="00000000" w:rsidRPr="00000000">
              <w:rPr>
                <w:rFonts w:ascii="Arial" w:cs="Arial" w:eastAsia="Arial" w:hAnsi="Arial"/>
                <w:b w:val="1"/>
                <w:color w:val="000000"/>
                <w:sz w:val="16"/>
                <w:szCs w:val="16"/>
                <w:rtl w:val="0"/>
              </w:rPr>
              <w:t xml:space="preserve">DESCRIPCIÓN</w:t>
            </w:r>
          </w:p>
        </w:tc>
      </w:tr>
      <w:tr>
        <w:trPr>
          <w:cantSplit w:val="0"/>
          <w:trHeight w:val="20" w:hRule="atLeast"/>
          <w:tblHeader w:val="0"/>
        </w:trPr>
        <w:tc>
          <w:tcPr>
            <w:tcBorders>
              <w:top w:color="000000" w:space="0" w:sz="0" w:val="nil"/>
              <w:left w:color="ffffff" w:space="0" w:sz="4" w:val="single"/>
              <w:bottom w:color="000000" w:space="0" w:sz="0" w:val="nil"/>
              <w:right w:color="ffffff" w:space="0" w:sz="4" w:val="single"/>
            </w:tcBorders>
            <w:shd w:fill="auto" w:val="clear"/>
            <w:vAlign w:val="center"/>
          </w:tcPr>
          <w:p w:rsidR="00000000" w:rsidDel="00000000" w:rsidP="00000000" w:rsidRDefault="00000000" w:rsidRPr="00000000" w14:paraId="0000019E">
            <w:pPr>
              <w:spacing w:after="0"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INEGI (2021)</w:t>
            </w:r>
          </w:p>
        </w:tc>
        <w:tc>
          <w:tcPr>
            <w:tcBorders>
              <w:top w:color="000000" w:space="0" w:sz="0" w:val="nil"/>
              <w:left w:color="000000" w:space="0" w:sz="0" w:val="nil"/>
              <w:bottom w:color="000000" w:space="0" w:sz="0" w:val="nil"/>
              <w:right w:color="ffffff" w:space="0" w:sz="4" w:val="single"/>
            </w:tcBorders>
            <w:shd w:fill="auto" w:val="clear"/>
            <w:vAlign w:val="center"/>
          </w:tcPr>
          <w:p w:rsidR="00000000" w:rsidDel="00000000" w:rsidP="00000000" w:rsidRDefault="00000000" w:rsidRPr="00000000" w14:paraId="0000019F">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Agricultura</w:t>
            </w:r>
          </w:p>
        </w:tc>
        <w:tc>
          <w:tcPr>
            <w:tcBorders>
              <w:top w:color="000000" w:space="0" w:sz="0" w:val="nil"/>
              <w:left w:color="000000" w:space="0" w:sz="0" w:val="nil"/>
              <w:bottom w:color="000000" w:space="0" w:sz="0" w:val="nil"/>
              <w:right w:color="ffffff" w:space="0" w:sz="4" w:val="single"/>
            </w:tcBorders>
            <w:shd w:fill="auto" w:val="clear"/>
            <w:vAlign w:val="center"/>
          </w:tcPr>
          <w:p w:rsidR="00000000" w:rsidDel="00000000" w:rsidP="00000000" w:rsidRDefault="00000000" w:rsidRPr="00000000" w14:paraId="000001A0">
            <w:pPr>
              <w:spacing w:after="0"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Zonas de agricultura de la Serie VII de Uso del Suelo y Vegetación de INEGI (2021)</w:t>
            </w:r>
            <w:r w:rsidDel="00000000" w:rsidR="00000000" w:rsidRPr="00000000">
              <w:rPr>
                <w:rFonts w:ascii="Arial" w:cs="Arial" w:eastAsia="Arial" w:hAnsi="Arial"/>
                <w:color w:val="000000"/>
                <w:sz w:val="16"/>
                <w:szCs w:val="16"/>
                <w:vertAlign w:val="superscript"/>
                <w:rtl w:val="0"/>
              </w:rPr>
              <w:t xml:space="preserve">1</w:t>
            </w:r>
            <w:r w:rsidDel="00000000" w:rsidR="00000000" w:rsidRPr="00000000">
              <w:rPr>
                <w:rFonts w:ascii="Arial" w:cs="Arial" w:eastAsia="Arial" w:hAnsi="Arial"/>
                <w:color w:val="000000"/>
                <w:sz w:val="16"/>
                <w:szCs w:val="16"/>
                <w:rtl w:val="0"/>
              </w:rPr>
              <w:t xml:space="preserve">.</w:t>
            </w:r>
          </w:p>
        </w:tc>
      </w:tr>
      <w:tr>
        <w:trPr>
          <w:cantSplit w:val="0"/>
          <w:trHeight w:val="20" w:hRule="atLeast"/>
          <w:tblHeader w:val="0"/>
        </w:trPr>
        <w:tc>
          <w:tcPr>
            <w:tcBorders>
              <w:top w:color="000000" w:space="0" w:sz="0" w:val="nil"/>
              <w:left w:color="ffffff" w:space="0" w:sz="4" w:val="single"/>
              <w:bottom w:color="000000" w:space="0" w:sz="0" w:val="nil"/>
              <w:right w:color="ffffff" w:space="0" w:sz="4" w:val="single"/>
            </w:tcBorders>
            <w:shd w:fill="auto" w:val="clear"/>
            <w:vAlign w:val="center"/>
          </w:tcPr>
          <w:p w:rsidR="00000000" w:rsidDel="00000000" w:rsidP="00000000" w:rsidRDefault="00000000" w:rsidRPr="00000000" w14:paraId="000001A1">
            <w:pPr>
              <w:spacing w:after="0"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CONABIO (2018)</w:t>
            </w:r>
          </w:p>
        </w:tc>
        <w:tc>
          <w:tcPr>
            <w:tcBorders>
              <w:top w:color="000000" w:space="0" w:sz="0" w:val="nil"/>
              <w:left w:color="000000" w:space="0" w:sz="0" w:val="nil"/>
              <w:bottom w:color="000000" w:space="0" w:sz="0" w:val="nil"/>
              <w:right w:color="ffffff" w:space="0" w:sz="4" w:val="single"/>
            </w:tcBorders>
            <w:shd w:fill="auto" w:val="clear"/>
            <w:vAlign w:val="center"/>
          </w:tcPr>
          <w:p w:rsidR="00000000" w:rsidDel="00000000" w:rsidP="00000000" w:rsidRDefault="00000000" w:rsidRPr="00000000" w14:paraId="000001A2">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No forestales</w:t>
            </w:r>
          </w:p>
        </w:tc>
        <w:tc>
          <w:tcPr>
            <w:tcBorders>
              <w:top w:color="000000" w:space="0" w:sz="0" w:val="nil"/>
              <w:left w:color="000000" w:space="0" w:sz="0" w:val="nil"/>
              <w:bottom w:color="000000" w:space="0" w:sz="0" w:val="nil"/>
              <w:right w:color="ffffff" w:space="0" w:sz="4" w:val="single"/>
            </w:tcBorders>
            <w:shd w:fill="auto" w:val="clear"/>
            <w:vAlign w:val="center"/>
          </w:tcPr>
          <w:p w:rsidR="00000000" w:rsidDel="00000000" w:rsidP="00000000" w:rsidRDefault="00000000" w:rsidRPr="00000000" w14:paraId="000001A3">
            <w:pPr>
              <w:spacing w:after="0"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Zonas de tierras agrícolas, urbanas y construidas, suelo desnudo, cuerpos de agua.</w:t>
            </w:r>
          </w:p>
        </w:tc>
      </w:tr>
      <w:tr>
        <w:trPr>
          <w:cantSplit w:val="0"/>
          <w:trHeight w:val="20" w:hRule="atLeast"/>
          <w:tblHeader w:val="0"/>
        </w:trPr>
        <w:tc>
          <w:tcPr>
            <w:tcBorders>
              <w:top w:color="000000" w:space="0" w:sz="0" w:val="nil"/>
              <w:left w:color="ffffff" w:space="0" w:sz="4" w:val="single"/>
              <w:bottom w:color="000000" w:space="0" w:sz="0" w:val="nil"/>
              <w:right w:color="ffffff" w:space="0" w:sz="4" w:val="single"/>
            </w:tcBorders>
            <w:shd w:fill="auto" w:val="clear"/>
            <w:vAlign w:val="center"/>
          </w:tcPr>
          <w:p w:rsidR="00000000" w:rsidDel="00000000" w:rsidP="00000000" w:rsidRDefault="00000000" w:rsidRPr="00000000" w14:paraId="000001A4">
            <w:pPr>
              <w:spacing w:after="0"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SPPIF, RAN (2018)</w:t>
            </w:r>
          </w:p>
        </w:tc>
        <w:tc>
          <w:tcPr>
            <w:tcBorders>
              <w:top w:color="000000" w:space="0" w:sz="0" w:val="nil"/>
              <w:left w:color="000000" w:space="0" w:sz="0" w:val="nil"/>
              <w:bottom w:color="000000" w:space="0" w:sz="0" w:val="nil"/>
              <w:right w:color="ffffff" w:space="0" w:sz="4" w:val="single"/>
            </w:tcBorders>
            <w:shd w:fill="auto" w:val="clear"/>
            <w:vAlign w:val="center"/>
          </w:tcPr>
          <w:p w:rsidR="00000000" w:rsidDel="00000000" w:rsidP="00000000" w:rsidRDefault="00000000" w:rsidRPr="00000000" w14:paraId="000001A5">
            <w:pPr>
              <w:spacing w:after="0" w:line="240" w:lineRule="auto"/>
              <w:jc w:val="center"/>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Interfaz agrícola-forestal</w:t>
            </w:r>
          </w:p>
        </w:tc>
        <w:tc>
          <w:tcPr>
            <w:tcBorders>
              <w:top w:color="000000" w:space="0" w:sz="0" w:val="nil"/>
              <w:left w:color="000000" w:space="0" w:sz="0" w:val="nil"/>
              <w:bottom w:color="000000" w:space="0" w:sz="0" w:val="nil"/>
              <w:right w:color="ffffff" w:space="0" w:sz="4" w:val="single"/>
            </w:tcBorders>
            <w:shd w:fill="auto" w:val="clear"/>
            <w:vAlign w:val="center"/>
          </w:tcPr>
          <w:p w:rsidR="00000000" w:rsidDel="00000000" w:rsidP="00000000" w:rsidRDefault="00000000" w:rsidRPr="00000000" w14:paraId="000001A6">
            <w:pPr>
              <w:spacing w:after="0" w:line="240" w:lineRule="auto"/>
              <w:jc w:val="both"/>
              <w:rPr>
                <w:rFonts w:ascii="Arial" w:cs="Arial" w:eastAsia="Arial" w:hAnsi="Arial"/>
                <w:color w:val="000000"/>
                <w:sz w:val="16"/>
                <w:szCs w:val="16"/>
              </w:rPr>
            </w:pPr>
            <w:r w:rsidDel="00000000" w:rsidR="00000000" w:rsidRPr="00000000">
              <w:rPr>
                <w:rFonts w:ascii="Arial" w:cs="Arial" w:eastAsia="Arial" w:hAnsi="Arial"/>
                <w:color w:val="000000"/>
                <w:sz w:val="16"/>
                <w:szCs w:val="16"/>
                <w:rtl w:val="0"/>
              </w:rPr>
              <w:t xml:space="preserve">Zonas de agricultura e interfaz agrícola descargados del SPPIF (Puntos de calor-&gt;</w:t>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color w:val="000000"/>
                <w:sz w:val="16"/>
                <w:szCs w:val="16"/>
                <w:rtl w:val="0"/>
              </w:rPr>
              <w:t xml:space="preserve">Máscara Agrícola/Urbana)</w:t>
            </w:r>
            <w:r w:rsidDel="00000000" w:rsidR="00000000" w:rsidRPr="00000000">
              <w:rPr>
                <w:rFonts w:ascii="Arial" w:cs="Arial" w:eastAsia="Arial" w:hAnsi="Arial"/>
                <w:color w:val="000000"/>
                <w:sz w:val="16"/>
                <w:szCs w:val="16"/>
                <w:vertAlign w:val="superscript"/>
                <w:rtl w:val="0"/>
              </w:rPr>
              <w:t xml:space="preserve">1</w:t>
            </w:r>
            <w:r w:rsidDel="00000000" w:rsidR="00000000" w:rsidRPr="00000000">
              <w:rPr>
                <w:rFonts w:ascii="Arial" w:cs="Arial" w:eastAsia="Arial" w:hAnsi="Arial"/>
                <w:color w:val="000000"/>
                <w:sz w:val="16"/>
                <w:szCs w:val="16"/>
                <w:rtl w:val="0"/>
              </w:rPr>
              <w:t xml:space="preserve">.</w:t>
            </w:r>
          </w:p>
        </w:tc>
      </w:tr>
      <w:tr>
        <w:trPr>
          <w:cantSplit w:val="0"/>
          <w:trHeight w:val="20" w:hRule="atLeast"/>
          <w:tblHeader w:val="0"/>
        </w:trPr>
        <w:tc>
          <w:tcPr>
            <w:gridSpan w:val="3"/>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A7">
            <w:pPr>
              <w:spacing w:after="0" w:line="240" w:lineRule="auto"/>
              <w:rPr>
                <w:rFonts w:ascii="Arial" w:cs="Arial" w:eastAsia="Arial" w:hAnsi="Arial"/>
                <w:color w:val="000000"/>
                <w:sz w:val="12"/>
                <w:szCs w:val="12"/>
              </w:rPr>
            </w:pPr>
            <w:r w:rsidDel="00000000" w:rsidR="00000000" w:rsidRPr="00000000">
              <w:rPr>
                <w:rFonts w:ascii="Arial" w:cs="Arial" w:eastAsia="Arial" w:hAnsi="Arial"/>
                <w:color w:val="000000"/>
                <w:sz w:val="16"/>
                <w:szCs w:val="16"/>
                <w:vertAlign w:val="superscript"/>
                <w:rtl w:val="0"/>
              </w:rPr>
              <w:t xml:space="preserve">1</w:t>
            </w:r>
            <w:r w:rsidDel="00000000" w:rsidR="00000000" w:rsidRPr="00000000">
              <w:rPr>
                <w:rFonts w:ascii="Arial" w:cs="Arial" w:eastAsia="Arial" w:hAnsi="Arial"/>
                <w:color w:val="000000"/>
                <w:sz w:val="12"/>
                <w:szCs w:val="12"/>
                <w:rtl w:val="0"/>
              </w:rPr>
              <w:t xml:space="preserve"> Disponible en </w:t>
            </w:r>
            <w:hyperlink r:id="rId16">
              <w:r w:rsidDel="00000000" w:rsidR="00000000" w:rsidRPr="00000000">
                <w:rPr>
                  <w:rFonts w:ascii="Arial" w:cs="Arial" w:eastAsia="Arial" w:hAnsi="Arial"/>
                  <w:color w:val="467886"/>
                  <w:sz w:val="16"/>
                  <w:szCs w:val="16"/>
                  <w:u w:val="single"/>
                  <w:rtl w:val="0"/>
                </w:rPr>
                <w:t xml:space="preserve">http://forestales.ujed.mx/incendios2/</w:t>
              </w:r>
            </w:hyperlink>
            <w:r w:rsidDel="00000000" w:rsidR="00000000" w:rsidRPr="00000000">
              <w:rPr>
                <w:rtl w:val="0"/>
              </w:rPr>
            </w:r>
          </w:p>
        </w:tc>
      </w:tr>
    </w:tbl>
    <w:p w:rsidR="00000000" w:rsidDel="00000000" w:rsidP="00000000" w:rsidRDefault="00000000" w:rsidRPr="00000000" w14:paraId="000001AA">
      <w:pPr>
        <w:spacing w:after="0" w:before="12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AB">
      <w:pPr>
        <w:spacing w:after="0"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 importante recalcar que no solamente se toma en cuenta la superficie no forestal de acuerdo con INEGI (2021), la cual corresponde a 57.6 millones de ha (mha) (Cuadro 4), sino que asciende hasta 68.9 mha cuando se le aplican las áreas no forestales de las demás capas en Cuadro 5. En la Figura 3 se representa la capa, así como unos ejemplos en algunos lugares de nuestro país.</w:t>
      </w:r>
    </w:p>
    <w:p w:rsidR="00000000" w:rsidDel="00000000" w:rsidP="00000000" w:rsidRDefault="00000000" w:rsidRPr="00000000" w14:paraId="000001AC">
      <w:pPr>
        <w:spacing w:after="0" w:before="12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AD">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28935" cy="2686636"/>
            <wp:effectExtent b="0" l="0" r="0" t="0"/>
            <wp:docPr id="2101763738" name="image22.png"/>
            <a:graphic>
              <a:graphicData uri="http://schemas.openxmlformats.org/drawingml/2006/picture">
                <pic:pic>
                  <pic:nvPicPr>
                    <pic:cNvPr id="0" name="image22.png"/>
                    <pic:cNvPicPr preferRelativeResize="0"/>
                  </pic:nvPicPr>
                  <pic:blipFill>
                    <a:blip r:embed="rId17"/>
                    <a:srcRect b="0" l="0" r="0" t="0"/>
                    <a:stretch>
                      <a:fillRect/>
                    </a:stretch>
                  </pic:blipFill>
                  <pic:spPr>
                    <a:xfrm>
                      <a:off x="0" y="0"/>
                      <a:ext cx="5628935" cy="2686636"/>
                    </a:xfrm>
                    <a:prstGeom prst="rect"/>
                    <a:ln/>
                  </pic:spPr>
                </pic:pic>
              </a:graphicData>
            </a:graphic>
          </wp:inline>
        </w:drawing>
      </w:r>
      <w:r w:rsidDel="00000000" w:rsidR="00000000" w:rsidRPr="00000000">
        <w:rPr>
          <w:rtl w:val="0"/>
        </w:rPr>
      </w:r>
    </w:p>
    <w:p w:rsidR="00000000" w:rsidDel="00000000" w:rsidP="00000000" w:rsidRDefault="00000000" w:rsidRPr="00000000" w14:paraId="000001AE">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bookmarkStart w:colFirst="0" w:colLast="0" w:name="_heading=h.2jxsxqh" w:id="19"/>
      <w:bookmarkEnd w:id="19"/>
      <w:r w:rsidDel="00000000" w:rsidR="00000000" w:rsidRPr="00000000">
        <w:rPr>
          <w:rFonts w:ascii="Arial" w:cs="Arial" w:eastAsia="Arial" w:hAnsi="Arial"/>
          <w:i w:val="1"/>
          <w:color w:val="0e2841"/>
          <w:sz w:val="20"/>
          <w:szCs w:val="20"/>
          <w:rtl w:val="0"/>
        </w:rPr>
        <w:t xml:space="preserve">Figura 3. Capa empleada para discriminar áreas no forestales: a) República mexicana, b) Caborca, Sonora, c) Guadalajara, Jalisco.</w:t>
      </w:r>
    </w:p>
    <w:p w:rsidR="00000000" w:rsidDel="00000000" w:rsidP="00000000" w:rsidRDefault="00000000" w:rsidRPr="00000000" w14:paraId="000001AF">
      <w:pPr>
        <w:jc w:val="both"/>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B0">
      <w:pPr>
        <w:pStyle w:val="Heading1"/>
        <w:rPr>
          <w:b w:val="1"/>
          <w:color w:val="135b42"/>
          <w:sz w:val="32"/>
          <w:szCs w:val="32"/>
        </w:rPr>
      </w:pPr>
      <w:bookmarkStart w:colFirst="0" w:colLast="0" w:name="_heading=h.eez5wzykges3" w:id="20"/>
      <w:bookmarkEnd w:id="20"/>
      <w:r w:rsidDel="00000000" w:rsidR="00000000" w:rsidRPr="00000000">
        <w:rPr>
          <w:b w:val="1"/>
          <w:color w:val="135b42"/>
          <w:sz w:val="32"/>
          <w:szCs w:val="32"/>
          <w:rtl w:val="0"/>
        </w:rPr>
        <w:t xml:space="preserve">Mapa de áreas prioritarias de protección contra incendios forestales</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wp:posOffset>
                </wp:positionH>
                <wp:positionV relativeFrom="paragraph">
                  <wp:posOffset>622300</wp:posOffset>
                </wp:positionV>
                <wp:extent cx="0" cy="19050"/>
                <wp:effectExtent b="0" l="0" r="0" t="0"/>
                <wp:wrapNone/>
                <wp:docPr id="2101763720" name=""/>
                <a:graphic>
                  <a:graphicData uri="http://schemas.microsoft.com/office/word/2010/wordprocessingShape">
                    <wps:wsp>
                      <wps:cNvCnPr/>
                      <wps:spPr>
                        <a:xfrm>
                          <a:off x="2528823" y="3780000"/>
                          <a:ext cx="5634355" cy="0"/>
                        </a:xfrm>
                        <a:prstGeom prst="straightConnector1">
                          <a:avLst/>
                        </a:prstGeom>
                        <a:noFill/>
                        <a:ln cap="flat" cmpd="sng" w="19050">
                          <a:solidFill>
                            <a:srgbClr val="C0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622300</wp:posOffset>
                </wp:positionV>
                <wp:extent cx="0" cy="19050"/>
                <wp:effectExtent b="0" l="0" r="0" t="0"/>
                <wp:wrapNone/>
                <wp:docPr id="2101763720" name="image19.png"/>
                <a:graphic>
                  <a:graphicData uri="http://schemas.openxmlformats.org/drawingml/2006/picture">
                    <pic:pic>
                      <pic:nvPicPr>
                        <pic:cNvPr id="0" name="image19.png"/>
                        <pic:cNvPicPr preferRelativeResize="0"/>
                      </pic:nvPicPr>
                      <pic:blipFill>
                        <a:blip r:embed="rId18"/>
                        <a:srcRect/>
                        <a:stretch>
                          <a:fillRect/>
                        </a:stretch>
                      </pic:blipFill>
                      <pic:spPr>
                        <a:xfrm>
                          <a:off x="0" y="0"/>
                          <a:ext cx="0" cy="19050"/>
                        </a:xfrm>
                        <a:prstGeom prst="rect"/>
                        <a:ln/>
                      </pic:spPr>
                    </pic:pic>
                  </a:graphicData>
                </a:graphic>
              </wp:anchor>
            </w:drawing>
          </mc:Fallback>
        </mc:AlternateContent>
      </w:r>
    </w:p>
    <w:p w:rsidR="00000000" w:rsidDel="00000000" w:rsidP="00000000" w:rsidRDefault="00000000" w:rsidRPr="00000000" w14:paraId="000001B1">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implementación del MAPPCIF parte como un instrumento de planificación para la prevención y atención de incendios forestales en nuestro país. Se desarrolla bajo una técnica de análisis multicriterio jerarquizado, que busca fungir como un soporte de decisión a partir de la información geográfica de distintas variables (Malczewski, 2006). Para este producto, específicamente se requirieron 12 variables, que se conforman en tres componentes principales: riesgo, peligro y valor, como se muestra en la Figura 4. Cada uno de estos se describe a continuación.</w:t>
      </w:r>
    </w:p>
    <w:p w:rsidR="00000000" w:rsidDel="00000000" w:rsidP="00000000" w:rsidRDefault="00000000" w:rsidRPr="00000000" w14:paraId="000001B2">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708429" cy="2297797"/>
            <wp:effectExtent b="0" l="0" r="0" t="0"/>
            <wp:docPr id="2101763741" name="image3.png"/>
            <a:graphic>
              <a:graphicData uri="http://schemas.openxmlformats.org/drawingml/2006/picture">
                <pic:pic>
                  <pic:nvPicPr>
                    <pic:cNvPr id="0" name="image3.png"/>
                    <pic:cNvPicPr preferRelativeResize="0"/>
                  </pic:nvPicPr>
                  <pic:blipFill>
                    <a:blip r:embed="rId19"/>
                    <a:srcRect b="0" l="0" r="8189" t="0"/>
                    <a:stretch>
                      <a:fillRect/>
                    </a:stretch>
                  </pic:blipFill>
                  <pic:spPr>
                    <a:xfrm>
                      <a:off x="0" y="0"/>
                      <a:ext cx="5708429" cy="2297797"/>
                    </a:xfrm>
                    <a:prstGeom prst="rect"/>
                    <a:ln/>
                  </pic:spPr>
                </pic:pic>
              </a:graphicData>
            </a:graphic>
          </wp:inline>
        </w:drawing>
      </w:r>
      <w:r w:rsidDel="00000000" w:rsidR="00000000" w:rsidRPr="00000000">
        <w:rPr>
          <w:rtl w:val="0"/>
        </w:rPr>
      </w:r>
    </w:p>
    <w:p w:rsidR="00000000" w:rsidDel="00000000" w:rsidP="00000000" w:rsidRDefault="00000000" w:rsidRPr="00000000" w14:paraId="000001B3">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bookmarkStart w:colFirst="0" w:colLast="0" w:name="_heading=h.3j2qqm3" w:id="21"/>
      <w:bookmarkEnd w:id="21"/>
      <w:r w:rsidDel="00000000" w:rsidR="00000000" w:rsidRPr="00000000">
        <w:rPr>
          <w:rFonts w:ascii="Arial" w:cs="Arial" w:eastAsia="Arial" w:hAnsi="Arial"/>
          <w:i w:val="1"/>
          <w:color w:val="0e2841"/>
          <w:sz w:val="20"/>
          <w:szCs w:val="20"/>
          <w:rtl w:val="0"/>
        </w:rPr>
        <w:t xml:space="preserve">Figura 4. Diagrama de flujo de las variables que componen el Mapa de áreas prioritarias contra incendios forestales 2024.</w:t>
      </w:r>
    </w:p>
    <w:p w:rsidR="00000000" w:rsidDel="00000000" w:rsidP="00000000" w:rsidRDefault="00000000" w:rsidRPr="00000000" w14:paraId="000001B4">
      <w:pPr>
        <w:spacing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Los mapas descritos a continuación se encuentran disponibles para consulta y descarga en el </w:t>
      </w:r>
      <w:r w:rsidDel="00000000" w:rsidR="00000000" w:rsidRPr="00000000">
        <w:rPr>
          <w:rFonts w:ascii="Arial" w:cs="Arial" w:eastAsia="Arial" w:hAnsi="Arial"/>
          <w:i w:val="1"/>
          <w:sz w:val="20"/>
          <w:szCs w:val="20"/>
          <w:rtl w:val="0"/>
        </w:rPr>
        <w:t xml:space="preserve">Sistema de Predicción de Peligro de Incendios Forestales</w:t>
      </w:r>
      <w:r w:rsidDel="00000000" w:rsidR="00000000" w:rsidRPr="00000000">
        <w:rPr>
          <w:rFonts w:ascii="Arial" w:cs="Arial" w:eastAsia="Arial" w:hAnsi="Arial"/>
          <w:sz w:val="20"/>
          <w:szCs w:val="20"/>
          <w:rtl w:val="0"/>
        </w:rPr>
        <w:t xml:space="preserve">, en la sección </w:t>
      </w:r>
      <w:r w:rsidDel="00000000" w:rsidR="00000000" w:rsidRPr="00000000">
        <w:rPr>
          <w:rFonts w:ascii="Arial" w:cs="Arial" w:eastAsia="Arial" w:hAnsi="Arial"/>
          <w:i w:val="1"/>
          <w:sz w:val="20"/>
          <w:szCs w:val="20"/>
          <w:rtl w:val="0"/>
        </w:rPr>
        <w:t xml:space="preserve">CAPAS TEMÁTICAS </w:t>
      </w:r>
      <w:r w:rsidDel="00000000" w:rsidR="00000000" w:rsidRPr="00000000">
        <w:rPr>
          <w:rFonts w:ascii="Arial" w:cs="Arial" w:eastAsia="Arial" w:hAnsi="Arial"/>
          <w:sz w:val="20"/>
          <w:szCs w:val="20"/>
          <w:rtl w:val="0"/>
        </w:rPr>
        <w:t xml:space="preserve">(Figura 5).</w:t>
      </w:r>
    </w:p>
    <w:p w:rsidR="00000000" w:rsidDel="00000000" w:rsidP="00000000" w:rsidRDefault="00000000" w:rsidRPr="00000000" w14:paraId="000001B5">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4082631" cy="2556969"/>
            <wp:effectExtent b="0" l="0" r="0" t="0"/>
            <wp:docPr id="2101763740"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4082631" cy="2556969"/>
                    </a:xfrm>
                    <a:prstGeom prst="rect"/>
                    <a:ln/>
                  </pic:spPr>
                </pic:pic>
              </a:graphicData>
            </a:graphic>
          </wp:inline>
        </w:drawing>
      </w:r>
      <w:r w:rsidDel="00000000" w:rsidR="00000000" w:rsidRPr="00000000">
        <w:rPr>
          <w:rtl w:val="0"/>
        </w:rPr>
      </w:r>
    </w:p>
    <w:p w:rsidR="00000000" w:rsidDel="00000000" w:rsidP="00000000" w:rsidRDefault="00000000" w:rsidRPr="00000000" w14:paraId="000001B6">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bookmarkStart w:colFirst="0" w:colLast="0" w:name="_heading=h.1y810tw" w:id="22"/>
      <w:bookmarkEnd w:id="22"/>
      <w:r w:rsidDel="00000000" w:rsidR="00000000" w:rsidRPr="00000000">
        <w:rPr>
          <w:rFonts w:ascii="Arial" w:cs="Arial" w:eastAsia="Arial" w:hAnsi="Arial"/>
          <w:i w:val="1"/>
          <w:color w:val="0e2841"/>
          <w:sz w:val="20"/>
          <w:szCs w:val="20"/>
          <w:rtl w:val="0"/>
        </w:rPr>
        <w:t xml:space="preserve">Figura 5. Consulta y descarga de los mapas para cada componente del MAPCIF24</w:t>
      </w:r>
    </w:p>
    <w:p w:rsidR="00000000" w:rsidDel="00000000" w:rsidP="00000000" w:rsidRDefault="00000000" w:rsidRPr="00000000" w14:paraId="000001B7">
      <w:pPr>
        <w:rPr>
          <w:rFonts w:ascii="Arial" w:cs="Arial" w:eastAsia="Arial" w:hAnsi="Arial"/>
          <w:i w:val="1"/>
          <w:color w:val="0e284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B8">
      <w:pPr>
        <w:pStyle w:val="Heading1"/>
        <w:rPr>
          <w:b w:val="1"/>
          <w:color w:val="135b42"/>
          <w:sz w:val="32"/>
          <w:szCs w:val="32"/>
        </w:rPr>
      </w:pPr>
      <w:bookmarkStart w:colFirst="0" w:colLast="0" w:name="_heading=h.y5zqqcspp7w" w:id="23"/>
      <w:bookmarkEnd w:id="23"/>
      <w:r w:rsidDel="00000000" w:rsidR="00000000" w:rsidRPr="00000000">
        <w:rPr>
          <w:b w:val="1"/>
          <w:color w:val="135b42"/>
          <w:sz w:val="32"/>
          <w:szCs w:val="32"/>
          <w:rtl w:val="0"/>
        </w:rPr>
        <w:t xml:space="preserve">Componente de riesgo</w:t>
      </w:r>
    </w:p>
    <w:p w:rsidR="00000000" w:rsidDel="00000000" w:rsidP="00000000" w:rsidRDefault="00000000" w:rsidRPr="00000000" w14:paraId="000001B9">
      <w:pPr>
        <w:rPr>
          <w:rFonts w:ascii="Arial" w:cs="Arial" w:eastAsia="Arial" w:hAnsi="Arial"/>
          <w:sz w:val="20"/>
          <w:szCs w:val="20"/>
        </w:rPr>
      </w:pPr>
      <w:bookmarkStart w:colFirst="0" w:colLast="0" w:name="_heading=h.2xcytpi" w:id="24"/>
      <w:bookmarkEnd w:id="24"/>
      <w:r w:rsidDel="00000000" w:rsidR="00000000" w:rsidRPr="00000000">
        <w:rPr>
          <w:rFonts w:ascii="Arial" w:cs="Arial" w:eastAsia="Arial" w:hAnsi="Arial"/>
          <w:sz w:val="20"/>
          <w:szCs w:val="20"/>
          <w:rtl w:val="0"/>
        </w:rPr>
        <w:t xml:space="preserve">Considera las variables que propician la ignición o la ocurrencia de los incendios forestales. </w:t>
      </w:r>
    </w:p>
    <w:p w:rsidR="00000000" w:rsidDel="00000000" w:rsidP="00000000" w:rsidRDefault="00000000" w:rsidRPr="00000000" w14:paraId="000001BA">
      <w:pPr>
        <w:pStyle w:val="Heading2"/>
        <w:rPr>
          <w:color w:val="135b42"/>
          <w:sz w:val="22"/>
          <w:szCs w:val="22"/>
        </w:rPr>
      </w:pPr>
      <w:bookmarkStart w:colFirst="0" w:colLast="0" w:name="_heading=h.slaorsof2iz9" w:id="25"/>
      <w:bookmarkEnd w:id="25"/>
      <w:r w:rsidDel="00000000" w:rsidR="00000000" w:rsidRPr="00000000">
        <w:rPr>
          <w:color w:val="135b42"/>
          <w:sz w:val="22"/>
          <w:szCs w:val="22"/>
          <w:rtl w:val="0"/>
        </w:rPr>
        <w:t xml:space="preserve">Riesgo de ocurrencia de incendios por factores humanos y biomasa forestal</w:t>
      </w:r>
    </w:p>
    <w:p w:rsidR="00000000" w:rsidDel="00000000" w:rsidP="00000000" w:rsidRDefault="00000000" w:rsidRPr="00000000" w14:paraId="000001BB">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capa de riesgo se genera a partir del protocolo propuesto por Monjarás-Vega et al. (2020), considerando los incendios forestales combatidos que ocurrieron por cuestiones antrópicas (.i.e. agropecuarias, turismo, intencionales, silvícolas, entre otras) durante el periodo del 2005 al 2018 (CONAFOR, 2020). A esta base de datos se le aplicó una técnica de interpolación no paramétrica, llamada densidad de Kernel, la cual se empleó como la variable dependiente de un modelo de regresión geográfica ponderada, nivel nacional (FKD, por sus siglas en inglés </w:t>
      </w:r>
      <w:r w:rsidDel="00000000" w:rsidR="00000000" w:rsidRPr="00000000">
        <w:rPr>
          <w:rFonts w:ascii="Arial" w:cs="Arial" w:eastAsia="Arial" w:hAnsi="Arial"/>
          <w:i w:val="1"/>
          <w:sz w:val="20"/>
          <w:szCs w:val="20"/>
          <w:rtl w:val="0"/>
        </w:rPr>
        <w:t xml:space="preserve">Fire kernel density</w:t>
      </w:r>
      <w:r w:rsidDel="00000000" w:rsidR="00000000" w:rsidRPr="00000000">
        <w:rPr>
          <w:rFonts w:ascii="Arial" w:cs="Arial" w:eastAsia="Arial" w:hAnsi="Arial"/>
          <w:sz w:val="20"/>
          <w:szCs w:val="20"/>
          <w:rtl w:val="0"/>
        </w:rPr>
        <w:t xml:space="preserve">). Para la calibración del modelo se utilizó el periodo del 2005 al 2013; y para la validación, del 2014 al 2018. El estudio tomó en cuenta variables humanas, climáticas, topográficas y de vegetación a diferentes resoluciones espaciales (i.e. 5 a 50 km) como independientes, es decir, para predecir la densidad de incendios (FKD).</w:t>
      </w:r>
    </w:p>
    <w:p w:rsidR="00000000" w:rsidDel="00000000" w:rsidP="00000000" w:rsidRDefault="00000000" w:rsidRPr="00000000" w14:paraId="000001BC">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Aunque convencionalmente se considera que los factores ambientales desempeñan un papel importante para la ignición y propagación del fuego, este modelo probabilístico obtenido indica que la distribución espacial de la ocurrencia de estos, está determinada por variables humanas, siendo estadísticamente significativas en todas las regiones ecológicas, todas las escalas, incluyendo la interfaz agrícola-forestal. Los incendios son más frecuentes de acuerdo con su cercanía a vías de acceso y asentamientos urbanos, zonas agrícolas y la interfaz entre estas, así como la densidad de carbono sobre el suelo (biomasa disponible) y la región ecológica determinada (Monjaras-Vega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2020). La cantidad de biomasa disponible (ton/ha) se obtiene de acuerdo con Cartus </w:t>
      </w:r>
      <w:r w:rsidDel="00000000" w:rsidR="00000000" w:rsidRPr="00000000">
        <w:rPr>
          <w:rFonts w:ascii="Arial" w:cs="Arial" w:eastAsia="Arial" w:hAnsi="Arial"/>
          <w:i w:val="1"/>
          <w:sz w:val="20"/>
          <w:szCs w:val="20"/>
          <w:rtl w:val="0"/>
        </w:rPr>
        <w:t xml:space="preserve">et al. </w:t>
      </w:r>
      <w:r w:rsidDel="00000000" w:rsidR="00000000" w:rsidRPr="00000000">
        <w:rPr>
          <w:rFonts w:ascii="Arial" w:cs="Arial" w:eastAsia="Arial" w:hAnsi="Arial"/>
          <w:sz w:val="20"/>
          <w:szCs w:val="20"/>
          <w:rtl w:val="0"/>
        </w:rPr>
        <w:t xml:space="preserve">(2014), a partir de sensores remotos como Landsat y ALOS PALSAR, calibrados con parcelas de muestreo, provenientes de 16,906 parcelas del Inventario Nacional Forestal y de Suelos de México.</w:t>
      </w:r>
    </w:p>
    <w:p w:rsidR="00000000" w:rsidDel="00000000" w:rsidP="00000000" w:rsidRDefault="00000000" w:rsidRPr="00000000" w14:paraId="000001BD">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ponderación para cada categoría de esta variable se muestra en el Cuadro 6.</w:t>
      </w:r>
    </w:p>
    <w:tbl>
      <w:tblPr>
        <w:tblStyle w:val="Table5"/>
        <w:tblW w:w="8838.0" w:type="dxa"/>
        <w:jc w:val="left"/>
        <w:tblLayout w:type="fixed"/>
        <w:tblLook w:val="0400"/>
      </w:tblPr>
      <w:tblGrid>
        <w:gridCol w:w="1671"/>
        <w:gridCol w:w="2109"/>
        <w:gridCol w:w="2232"/>
        <w:gridCol w:w="2232"/>
        <w:gridCol w:w="594"/>
        <w:tblGridChange w:id="0">
          <w:tblGrid>
            <w:gridCol w:w="1671"/>
            <w:gridCol w:w="2109"/>
            <w:gridCol w:w="2232"/>
            <w:gridCol w:w="2232"/>
            <w:gridCol w:w="594"/>
          </w:tblGrid>
        </w:tblGridChange>
      </w:tblGrid>
      <w:tr>
        <w:trPr>
          <w:cantSplit w:val="0"/>
          <w:trHeight w:val="285" w:hRule="atLeast"/>
          <w:tblHeader w:val="0"/>
        </w:trPr>
        <w:tc>
          <w:tcPr>
            <w:gridSpan w:val="5"/>
            <w:tcBorders>
              <w:top w:color="000000" w:space="0" w:sz="0" w:val="nil"/>
              <w:left w:color="000000" w:space="0" w:sz="0" w:val="nil"/>
              <w:bottom w:color="000000" w:space="0" w:sz="4" w:val="single"/>
              <w:right w:color="000000" w:space="0" w:sz="0" w:val="nil"/>
            </w:tcBorders>
          </w:tcPr>
          <w:p w:rsidR="00000000" w:rsidDel="00000000" w:rsidP="00000000" w:rsidRDefault="00000000" w:rsidRPr="00000000" w14:paraId="000001BE">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3whwml4" w:id="26"/>
            <w:bookmarkEnd w:id="26"/>
            <w:r w:rsidDel="00000000" w:rsidR="00000000" w:rsidRPr="00000000">
              <w:rPr>
                <w:rFonts w:ascii="Arial" w:cs="Arial" w:eastAsia="Arial" w:hAnsi="Arial"/>
                <w:i w:val="1"/>
                <w:color w:val="0e2841"/>
                <w:sz w:val="20"/>
                <w:szCs w:val="20"/>
                <w:rtl w:val="0"/>
              </w:rPr>
              <w:t xml:space="preserve">Cuadro 6. Ponderación de acuerdo al reclasificado del riesgo de ocurrencia por incendios</w:t>
            </w:r>
          </w:p>
        </w:tc>
      </w:tr>
      <w:tr>
        <w:trPr>
          <w:cantSplit w:val="0"/>
          <w:trHeight w:val="300"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C3">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CATEGORÍA</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C4">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VALOR</w:t>
            </w:r>
          </w:p>
        </w:tc>
        <w:tc>
          <w:tcPr>
            <w:tcBorders>
              <w:top w:color="000000" w:space="0" w:sz="0" w:val="nil"/>
              <w:left w:color="000000" w:space="0" w:sz="0" w:val="nil"/>
              <w:bottom w:color="000000" w:space="0" w:sz="4" w:val="single"/>
              <w:right w:color="000000" w:space="0" w:sz="0" w:val="nil"/>
            </w:tcBorders>
          </w:tcPr>
          <w:p w:rsidR="00000000" w:rsidDel="00000000" w:rsidP="00000000" w:rsidRDefault="00000000" w:rsidRPr="00000000" w14:paraId="000001C5">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C6">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C7">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C8">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No aplica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C9">
            <w:pPr>
              <w:spacing w:after="0" w:lineRule="auto"/>
              <w:jc w:val="center"/>
              <w:rPr>
                <w:rFonts w:ascii="Arial" w:cs="Arial" w:eastAsia="Arial" w:hAnsi="Arial"/>
                <w:i w:val="1"/>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1CA">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0</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CB">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61,013,297</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CC">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31.1</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CD">
            <w:pPr>
              <w:spacing w:after="0" w:lineRule="auto"/>
              <w:jc w:val="center"/>
              <w:rPr>
                <w:rFonts w:ascii="Arial" w:cs="Arial" w:eastAsia="Arial" w:hAnsi="Arial"/>
                <w:color w:val="000000"/>
                <w:sz w:val="18"/>
                <w:szCs w:val="18"/>
              </w:rPr>
            </w:pPr>
            <w:r w:rsidDel="00000000" w:rsidR="00000000" w:rsidRPr="00000000">
              <w:rPr>
                <w:rFonts w:ascii="Arial" w:cs="Arial" w:eastAsia="Arial" w:hAnsi="Arial"/>
                <w:sz w:val="20"/>
                <w:szCs w:val="20"/>
                <w:rtl w:val="0"/>
              </w:rPr>
              <w:t xml:space="preserve">Muy bajo</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CE">
            <w:pPr>
              <w:spacing w:after="0" w:lineRule="auto"/>
              <w:jc w:val="center"/>
              <w:rPr>
                <w:rFonts w:ascii="Arial" w:cs="Arial" w:eastAsia="Arial" w:hAnsi="Arial"/>
                <w:b w:val="1"/>
                <w:color w:val="000000"/>
                <w:sz w:val="18"/>
                <w:szCs w:val="18"/>
              </w:rPr>
            </w:pPr>
            <w:r w:rsidDel="00000000" w:rsidR="00000000" w:rsidRPr="00000000">
              <w:rPr>
                <w:rFonts w:ascii="Arial" w:cs="Arial" w:eastAsia="Arial" w:hAnsi="Arial"/>
                <w:sz w:val="20"/>
                <w:szCs w:val="20"/>
                <w:rtl w:val="0"/>
              </w:rPr>
              <w:t xml:space="preserve">0</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1CF">
            <w:pPr>
              <w:spacing w:after="0" w:lineRule="auto"/>
              <w:jc w:val="center"/>
              <w:rPr>
                <w:rFonts w:ascii="Arial" w:cs="Arial" w:eastAsia="Arial" w:hAnsi="Arial"/>
                <w:color w:val="000000"/>
                <w:sz w:val="18"/>
                <w:szCs w:val="18"/>
              </w:rPr>
            </w:pPr>
            <w:r w:rsidDel="00000000" w:rsidR="00000000" w:rsidRPr="00000000">
              <w:rPr>
                <w:rFonts w:ascii="Arial" w:cs="Arial" w:eastAsia="Arial" w:hAnsi="Arial"/>
                <w:sz w:val="20"/>
                <w:szCs w:val="20"/>
                <w:rtl w:val="0"/>
              </w:rPr>
              <w:t xml:space="preserve">1</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D0">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29,538,828</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D1">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15.1</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D2">
            <w:pPr>
              <w:spacing w:after="0" w:lineRule="auto"/>
              <w:jc w:val="center"/>
              <w:rPr>
                <w:rFonts w:ascii="Arial" w:cs="Arial" w:eastAsia="Arial" w:hAnsi="Arial"/>
                <w:color w:val="000000"/>
                <w:sz w:val="18"/>
                <w:szCs w:val="18"/>
              </w:rPr>
            </w:pPr>
            <w:r w:rsidDel="00000000" w:rsidR="00000000" w:rsidRPr="00000000">
              <w:rPr>
                <w:rFonts w:ascii="Arial" w:cs="Arial" w:eastAsia="Arial" w:hAnsi="Arial"/>
                <w:sz w:val="20"/>
                <w:szCs w:val="20"/>
                <w:rtl w:val="0"/>
              </w:rPr>
              <w:t xml:space="preserve">Bajo</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D3">
            <w:pPr>
              <w:spacing w:after="0" w:lineRule="auto"/>
              <w:jc w:val="center"/>
              <w:rPr>
                <w:rFonts w:ascii="Arial" w:cs="Arial" w:eastAsia="Arial" w:hAnsi="Arial"/>
                <w:color w:val="000000"/>
                <w:sz w:val="18"/>
                <w:szCs w:val="18"/>
              </w:rPr>
            </w:pPr>
            <w:r w:rsidDel="00000000" w:rsidR="00000000" w:rsidRPr="00000000">
              <w:rPr>
                <w:rFonts w:ascii="Arial" w:cs="Arial" w:eastAsia="Arial" w:hAnsi="Arial"/>
                <w:sz w:val="20"/>
                <w:szCs w:val="20"/>
                <w:rtl w:val="0"/>
              </w:rPr>
              <w:t xml:space="preserve">1</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1D4">
            <w:pPr>
              <w:spacing w:after="0" w:lineRule="auto"/>
              <w:jc w:val="center"/>
              <w:rPr>
                <w:rFonts w:ascii="Arial" w:cs="Arial" w:eastAsia="Arial" w:hAnsi="Arial"/>
                <w:color w:val="000000"/>
                <w:sz w:val="18"/>
                <w:szCs w:val="18"/>
              </w:rPr>
            </w:pPr>
            <w:r w:rsidDel="00000000" w:rsidR="00000000" w:rsidRPr="00000000">
              <w:rPr>
                <w:rFonts w:ascii="Arial" w:cs="Arial" w:eastAsia="Arial" w:hAnsi="Arial"/>
                <w:sz w:val="20"/>
                <w:szCs w:val="20"/>
                <w:rtl w:val="0"/>
              </w:rPr>
              <w:t xml:space="preserve">2</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D5">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60,439,444</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D6">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30.8</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D7">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Medio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D8">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 a 5</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1D9">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DA">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15,176,866</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DB">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7.7</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DC">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Medio-alto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DD">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5 a 10</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1DE">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DF">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9,556,751</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E0">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4.9</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E1">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Alto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E2">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10 a 25</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1E3">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5</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E4">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11,090,610</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E5">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5.7</w:t>
            </w:r>
          </w:p>
        </w:tc>
      </w:tr>
      <w:tr>
        <w:trPr>
          <w:cantSplit w:val="0"/>
          <w:trHeight w:val="315" w:hRule="atLeast"/>
          <w:tblHeader w:val="0"/>
        </w:trPr>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1E6">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Muy alto</w:t>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1E7">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25 a 75</w:t>
            </w:r>
          </w:p>
        </w:tc>
        <w:tc>
          <w:tcPr>
            <w:tcBorders>
              <w:top w:color="000000" w:space="0" w:sz="0" w:val="nil"/>
              <w:left w:color="000000" w:space="0" w:sz="0" w:val="nil"/>
              <w:right w:color="000000" w:space="0" w:sz="0" w:val="nil"/>
            </w:tcBorders>
            <w:vAlign w:val="center"/>
          </w:tcPr>
          <w:p w:rsidR="00000000" w:rsidDel="00000000" w:rsidP="00000000" w:rsidRDefault="00000000" w:rsidRPr="00000000" w14:paraId="000001E8">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6</w:t>
            </w:r>
          </w:p>
        </w:tc>
        <w:tc>
          <w:tcPr>
            <w:tcBorders>
              <w:top w:color="000000" w:space="0" w:sz="0" w:val="nil"/>
              <w:left w:color="000000" w:space="0" w:sz="0" w:val="nil"/>
              <w:right w:color="000000" w:space="0" w:sz="0" w:val="nil"/>
            </w:tcBorders>
            <w:shd w:fill="auto" w:val="clear"/>
          </w:tcPr>
          <w:p w:rsidR="00000000" w:rsidDel="00000000" w:rsidP="00000000" w:rsidRDefault="00000000" w:rsidRPr="00000000" w14:paraId="000001E9">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7,282,373</w:t>
            </w:r>
          </w:p>
        </w:tc>
        <w:tc>
          <w:tcPr>
            <w:tcBorders>
              <w:top w:color="000000" w:space="0" w:sz="0" w:val="nil"/>
              <w:left w:color="000000" w:space="0" w:sz="0" w:val="nil"/>
              <w:right w:color="000000" w:space="0" w:sz="0" w:val="nil"/>
            </w:tcBorders>
            <w:shd w:fill="auto" w:val="clear"/>
          </w:tcPr>
          <w:p w:rsidR="00000000" w:rsidDel="00000000" w:rsidP="00000000" w:rsidRDefault="00000000" w:rsidRPr="00000000" w14:paraId="000001EA">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3.7</w:t>
            </w:r>
          </w:p>
        </w:tc>
      </w:tr>
      <w:tr>
        <w:trPr>
          <w:cantSplit w:val="0"/>
          <w:trHeight w:val="315" w:hRule="atLeast"/>
          <w:tblHeader w:val="0"/>
        </w:trPr>
        <w:tc>
          <w:tcPr>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14:paraId="000001EB">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Extremo</w:t>
            </w:r>
          </w:p>
        </w:tc>
        <w:tc>
          <w:tcPr>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14:paraId="000001EC">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75 a 100</w:t>
            </w:r>
          </w:p>
        </w:tc>
        <w:tc>
          <w:tcPr>
            <w:tcBorders>
              <w:top w:color="000000" w:space="0" w:sz="0" w:val="nil"/>
              <w:left w:color="000000" w:space="0" w:sz="0" w:val="nil"/>
              <w:bottom w:color="000000" w:space="0" w:sz="4" w:val="single"/>
              <w:right w:color="000000" w:space="0" w:sz="0" w:val="nil"/>
            </w:tcBorders>
          </w:tcPr>
          <w:p w:rsidR="00000000" w:rsidDel="00000000" w:rsidP="00000000" w:rsidRDefault="00000000" w:rsidRPr="00000000" w14:paraId="000001ED">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7</w:t>
            </w:r>
          </w:p>
        </w:tc>
        <w:tc>
          <w:tcPr>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14:paraId="000001EE">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2,131,040</w:t>
            </w:r>
          </w:p>
        </w:tc>
        <w:tc>
          <w:tcPr>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14:paraId="000001EF">
            <w:pPr>
              <w:spacing w:after="0" w:lineRule="auto"/>
              <w:jc w:val="right"/>
              <w:rPr>
                <w:rFonts w:ascii="Arial" w:cs="Arial" w:eastAsia="Arial" w:hAnsi="Arial"/>
                <w:sz w:val="20"/>
                <w:szCs w:val="20"/>
              </w:rPr>
            </w:pPr>
            <w:r w:rsidDel="00000000" w:rsidR="00000000" w:rsidRPr="00000000">
              <w:rPr>
                <w:rFonts w:ascii="Arial" w:cs="Arial" w:eastAsia="Arial" w:hAnsi="Arial"/>
                <w:sz w:val="20"/>
                <w:szCs w:val="20"/>
                <w:rtl w:val="0"/>
              </w:rPr>
              <w:t xml:space="preserve">1.1</w:t>
            </w:r>
          </w:p>
        </w:tc>
      </w:tr>
      <w:tr>
        <w:trPr>
          <w:cantSplit w:val="0"/>
          <w:trHeight w:val="315" w:hRule="atLeast"/>
          <w:tblHeader w:val="0"/>
        </w:trPr>
        <w:tc>
          <w:tcPr>
            <w:gridSpan w:val="3"/>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F0">
            <w:pPr>
              <w:spacing w:after="0" w:lineRule="auto"/>
              <w:jc w:val="right"/>
              <w:rPr>
                <w:rFonts w:ascii="Arial" w:cs="Arial" w:eastAsia="Arial" w:hAnsi="Arial"/>
                <w:b w:val="1"/>
                <w:sz w:val="20"/>
                <w:szCs w:val="20"/>
              </w:rPr>
            </w:pPr>
            <w:r w:rsidDel="00000000" w:rsidR="00000000" w:rsidRPr="00000000">
              <w:rPr>
                <w:rFonts w:ascii="Arial" w:cs="Arial" w:eastAsia="Arial" w:hAnsi="Arial"/>
                <w:b w:val="1"/>
                <w:color w:val="000000"/>
                <w:sz w:val="18"/>
                <w:szCs w:val="18"/>
                <w:rtl w:val="0"/>
              </w:rPr>
              <w:t xml:space="preserve">TOTAL:</w:t>
            </w:r>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F3">
            <w:pPr>
              <w:spacing w:after="0" w:lineRule="auto"/>
              <w:jc w:val="center"/>
              <w:rPr>
                <w:rFonts w:ascii="Arial" w:cs="Arial" w:eastAsia="Arial" w:hAnsi="Arial"/>
                <w:b w:val="1"/>
                <w:sz w:val="20"/>
                <w:szCs w:val="20"/>
              </w:rPr>
            </w:pPr>
            <w:r w:rsidDel="00000000" w:rsidR="00000000" w:rsidRPr="00000000">
              <w:rPr>
                <w:rFonts w:ascii="Arial" w:cs="Arial" w:eastAsia="Arial" w:hAnsi="Arial"/>
                <w:b w:val="1"/>
                <w:color w:val="000000"/>
                <w:sz w:val="18"/>
                <w:szCs w:val="18"/>
                <w:rtl w:val="0"/>
              </w:rPr>
              <w:t xml:space="preserve">196,229,208</w:t>
            </w:r>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F4">
            <w:pPr>
              <w:spacing w:after="0" w:lineRule="auto"/>
              <w:jc w:val="center"/>
              <w:rPr>
                <w:rFonts w:ascii="Arial" w:cs="Arial" w:eastAsia="Arial" w:hAnsi="Arial"/>
                <w:b w:val="1"/>
                <w:sz w:val="20"/>
                <w:szCs w:val="20"/>
              </w:rPr>
            </w:pPr>
            <w:r w:rsidDel="00000000" w:rsidR="00000000" w:rsidRPr="00000000">
              <w:rPr>
                <w:rFonts w:ascii="Arial" w:cs="Arial" w:eastAsia="Arial" w:hAnsi="Arial"/>
                <w:b w:val="1"/>
                <w:color w:val="000000"/>
                <w:sz w:val="18"/>
                <w:szCs w:val="18"/>
                <w:rtl w:val="0"/>
              </w:rPr>
              <w:t xml:space="preserve">100</w:t>
            </w:r>
            <w:r w:rsidDel="00000000" w:rsidR="00000000" w:rsidRPr="00000000">
              <w:rPr>
                <w:rtl w:val="0"/>
              </w:rPr>
            </w:r>
          </w:p>
        </w:tc>
      </w:tr>
    </w:tbl>
    <w:p w:rsidR="00000000" w:rsidDel="00000000" w:rsidP="00000000" w:rsidRDefault="00000000" w:rsidRPr="00000000" w14:paraId="000001F5">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F6">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0542" cy="3967534"/>
            <wp:effectExtent b="0" l="0" r="0" t="0"/>
            <wp:docPr id="2101763743" name="image16.png"/>
            <a:graphic>
              <a:graphicData uri="http://schemas.openxmlformats.org/drawingml/2006/picture">
                <pic:pic>
                  <pic:nvPicPr>
                    <pic:cNvPr id="0" name="image16.png"/>
                    <pic:cNvPicPr preferRelativeResize="0"/>
                  </pic:nvPicPr>
                  <pic:blipFill>
                    <a:blip r:embed="rId21"/>
                    <a:srcRect b="0" l="0" r="0" t="0"/>
                    <a:stretch>
                      <a:fillRect/>
                    </a:stretch>
                  </pic:blipFill>
                  <pic:spPr>
                    <a:xfrm>
                      <a:off x="0" y="0"/>
                      <a:ext cx="5610542" cy="3967534"/>
                    </a:xfrm>
                    <a:prstGeom prst="rect"/>
                    <a:ln/>
                  </pic:spPr>
                </pic:pic>
              </a:graphicData>
            </a:graphic>
          </wp:inline>
        </w:drawing>
      </w:r>
      <w:r w:rsidDel="00000000" w:rsidR="00000000" w:rsidRPr="00000000">
        <w:rPr>
          <w:rtl w:val="0"/>
        </w:rPr>
      </w:r>
    </w:p>
    <w:p w:rsidR="00000000" w:rsidDel="00000000" w:rsidP="00000000" w:rsidRDefault="00000000" w:rsidRPr="00000000" w14:paraId="000001F7">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6. Variable 1: Riesgo de ocurrencia de incendios por factores humanos y biomasa forestal por categorías para el componente de riesgo.</w:t>
      </w:r>
    </w:p>
    <w:p w:rsidR="00000000" w:rsidDel="00000000" w:rsidP="00000000" w:rsidRDefault="00000000" w:rsidRPr="00000000" w14:paraId="000001F8">
      <w:pPr>
        <w:pStyle w:val="Heading2"/>
        <w:rPr>
          <w:color w:val="135b42"/>
          <w:sz w:val="22"/>
          <w:szCs w:val="22"/>
        </w:rPr>
      </w:pPr>
      <w:bookmarkStart w:colFirst="0" w:colLast="0" w:name="_heading=h.37ehqd5ukj5c" w:id="27"/>
      <w:bookmarkEnd w:id="27"/>
      <w:r w:rsidDel="00000000" w:rsidR="00000000" w:rsidRPr="00000000">
        <w:rPr>
          <w:color w:val="135b42"/>
          <w:sz w:val="22"/>
          <w:szCs w:val="22"/>
          <w:rtl w:val="0"/>
        </w:rPr>
        <w:t xml:space="preserve">Polígonos de incendios de 2010 a 2023</w:t>
      </w:r>
    </w:p>
    <w:p w:rsidR="00000000" w:rsidDel="00000000" w:rsidP="00000000" w:rsidRDefault="00000000" w:rsidRPr="00000000" w14:paraId="000001F9">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 generan a partir de un proceso estandarizado de monitoreo, análisis y generación de los perímetros de incendios forestales (CONAFOR, 2024a), mediante imágenes multiespectrales de la plataforma de Sentinel 2 (S2), tal como se implementa en el manual propuesto por Briones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(2023), el cual procesa y descarga índices espectrales de área quemada en la plataforma basada en la nube </w:t>
      </w:r>
      <w:r w:rsidDel="00000000" w:rsidR="00000000" w:rsidRPr="00000000">
        <w:rPr>
          <w:rFonts w:ascii="Arial" w:cs="Arial" w:eastAsia="Arial" w:hAnsi="Arial"/>
          <w:i w:val="1"/>
          <w:sz w:val="20"/>
          <w:szCs w:val="20"/>
          <w:rtl w:val="0"/>
        </w:rPr>
        <w:t xml:space="preserve">Google Earth Engine</w:t>
      </w:r>
      <w:r w:rsidDel="00000000" w:rsidR="00000000" w:rsidRPr="00000000">
        <w:rPr>
          <w:rFonts w:ascii="Arial" w:cs="Arial" w:eastAsia="Arial" w:hAnsi="Arial"/>
          <w:sz w:val="20"/>
          <w:szCs w:val="20"/>
          <w:rtl w:val="0"/>
        </w:rPr>
        <w:t xml:space="preserve"> (GEE) (Gorelick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2019) y a su vez en el complemento </w:t>
      </w:r>
      <w:r w:rsidDel="00000000" w:rsidR="00000000" w:rsidRPr="00000000">
        <w:rPr>
          <w:rFonts w:ascii="Arial" w:cs="Arial" w:eastAsia="Arial" w:hAnsi="Arial"/>
          <w:i w:val="1"/>
          <w:sz w:val="20"/>
          <w:szCs w:val="20"/>
          <w:rtl w:val="0"/>
        </w:rPr>
        <w:t xml:space="preserve">Área quemada </w:t>
      </w:r>
      <w:r w:rsidDel="00000000" w:rsidR="00000000" w:rsidRPr="00000000">
        <w:rPr>
          <w:rFonts w:ascii="Arial" w:cs="Arial" w:eastAsia="Arial" w:hAnsi="Arial"/>
          <w:sz w:val="20"/>
          <w:szCs w:val="20"/>
          <w:rtl w:val="0"/>
        </w:rPr>
        <w:t xml:space="preserve">desarrollado por la UJED-CONAFOR en el software QGIS (QGIS, 2023). Una vez generados los polígonos de área quemada, pasan por un proceso de verificación y geoprocesamiento, que se describe en el </w:t>
      </w:r>
      <w:r w:rsidDel="00000000" w:rsidR="00000000" w:rsidRPr="00000000">
        <w:rPr>
          <w:rFonts w:ascii="Arial" w:cs="Arial" w:eastAsia="Arial" w:hAnsi="Arial"/>
          <w:i w:val="1"/>
          <w:sz w:val="20"/>
          <w:szCs w:val="20"/>
          <w:rtl w:val="0"/>
        </w:rPr>
        <w:t xml:space="preserve">Manual básico para el monitoreo, análisis y elaboración de polígonos de incendios forestales</w:t>
      </w:r>
      <w:r w:rsidDel="00000000" w:rsidR="00000000" w:rsidRPr="00000000">
        <w:rPr>
          <w:rFonts w:ascii="Arial" w:cs="Arial" w:eastAsia="Arial" w:hAnsi="Arial"/>
          <w:sz w:val="20"/>
          <w:szCs w:val="20"/>
          <w:rtl w:val="0"/>
        </w:rPr>
        <w:t xml:space="preserve"> (Esquerra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2024).</w:t>
      </w:r>
    </w:p>
    <w:p w:rsidR="00000000" w:rsidDel="00000000" w:rsidP="00000000" w:rsidRDefault="00000000" w:rsidRPr="00000000" w14:paraId="000001FA">
      <w:pPr>
        <w:jc w:val="both"/>
        <w:rPr>
          <w:rFonts w:ascii="Arial" w:cs="Arial" w:eastAsia="Arial" w:hAnsi="Arial"/>
          <w:sz w:val="20"/>
          <w:szCs w:val="20"/>
        </w:rPr>
      </w:pPr>
      <w:bookmarkStart w:colFirst="0" w:colLast="0" w:name="_heading=h.qsh70q" w:id="28"/>
      <w:bookmarkEnd w:id="28"/>
      <w:r w:rsidDel="00000000" w:rsidR="00000000" w:rsidRPr="00000000">
        <w:rPr>
          <w:rFonts w:ascii="Arial" w:cs="Arial" w:eastAsia="Arial" w:hAnsi="Arial"/>
          <w:sz w:val="20"/>
          <w:szCs w:val="20"/>
          <w:rtl w:val="0"/>
        </w:rPr>
        <w:t xml:space="preserve">Se asignó mayor valor a los incendios más alejados en el periodo por año, ya que en estos aparentemente habrá mayor acumulación y disponibilidad de combustible comparado con las áreas que se queman o se han quemado recientemente, lo que significa menor riesgo y peligro de propagación (Cuadro 7).</w:t>
      </w:r>
    </w:p>
    <w:p w:rsidR="00000000" w:rsidDel="00000000" w:rsidP="00000000" w:rsidRDefault="00000000" w:rsidRPr="00000000" w14:paraId="000001FB">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C">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D">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E">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F">
      <w:pPr>
        <w:jc w:val="both"/>
        <w:rPr>
          <w:rFonts w:ascii="Arial" w:cs="Arial" w:eastAsia="Arial" w:hAnsi="Arial"/>
          <w:sz w:val="20"/>
          <w:szCs w:val="20"/>
        </w:rPr>
      </w:pPr>
      <w:r w:rsidDel="00000000" w:rsidR="00000000" w:rsidRPr="00000000">
        <w:rPr>
          <w:rtl w:val="0"/>
        </w:rPr>
      </w:r>
    </w:p>
    <w:tbl>
      <w:tblPr>
        <w:tblStyle w:val="Table6"/>
        <w:tblW w:w="8838.0" w:type="dxa"/>
        <w:jc w:val="left"/>
        <w:tblLayout w:type="fixed"/>
        <w:tblLook w:val="0400"/>
      </w:tblPr>
      <w:tblGrid>
        <w:gridCol w:w="2173"/>
        <w:gridCol w:w="2704"/>
        <w:gridCol w:w="2922"/>
        <w:gridCol w:w="1039"/>
        <w:tblGridChange w:id="0">
          <w:tblGrid>
            <w:gridCol w:w="2173"/>
            <w:gridCol w:w="2704"/>
            <w:gridCol w:w="2922"/>
            <w:gridCol w:w="1039"/>
          </w:tblGrid>
        </w:tblGridChange>
      </w:tblGrid>
      <w:tr>
        <w:trPr>
          <w:cantSplit w:val="0"/>
          <w:trHeight w:val="285" w:hRule="atLeast"/>
          <w:tblHeader w:val="0"/>
        </w:trPr>
        <w:tc>
          <w:tcPr>
            <w:gridSpan w:val="4"/>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00">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3as4poj" w:id="29"/>
            <w:bookmarkEnd w:id="29"/>
            <w:r w:rsidDel="00000000" w:rsidR="00000000" w:rsidRPr="00000000">
              <w:rPr>
                <w:rFonts w:ascii="Arial" w:cs="Arial" w:eastAsia="Arial" w:hAnsi="Arial"/>
                <w:i w:val="1"/>
                <w:color w:val="0e2841"/>
                <w:sz w:val="20"/>
                <w:szCs w:val="20"/>
                <w:rtl w:val="0"/>
              </w:rPr>
              <w:t xml:space="preserve">Cuadro 7. Ponderación de acuerdo con el año de incendio.</w:t>
            </w:r>
          </w:p>
        </w:tc>
      </w:tr>
      <w:tr>
        <w:trPr>
          <w:cantSplit w:val="0"/>
          <w:trHeight w:val="300"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04">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AÑO DE INCENDIO</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05">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06">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07">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08">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2023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09">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1</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0A">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11,267,572</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0B">
            <w:pPr>
              <w:spacing w:after="0" w:lineRule="auto"/>
              <w:jc w:val="right"/>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19.8</w:t>
            </w:r>
            <w:r w:rsidDel="00000000" w:rsidR="00000000" w:rsidRPr="00000000">
              <w:rPr>
                <w:rtl w:val="0"/>
              </w:rPr>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0C">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2022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0D">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2</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0E">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7,951,161</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0F">
            <w:pPr>
              <w:spacing w:after="0" w:lineRule="auto"/>
              <w:jc w:val="right"/>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14</w:t>
            </w:r>
            <w:r w:rsidDel="00000000" w:rsidR="00000000" w:rsidRPr="00000000">
              <w:rPr>
                <w:rtl w:val="0"/>
              </w:rPr>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10">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2021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11">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3</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12">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6,587,524</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3">
            <w:pPr>
              <w:spacing w:after="0" w:lineRule="auto"/>
              <w:jc w:val="right"/>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11.6</w:t>
            </w:r>
            <w:r w:rsidDel="00000000" w:rsidR="00000000" w:rsidRPr="00000000">
              <w:rPr>
                <w:rtl w:val="0"/>
              </w:rPr>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14">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2020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15">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4</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16">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3,639,218</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7">
            <w:pPr>
              <w:spacing w:after="0" w:lineRule="auto"/>
              <w:jc w:val="right"/>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6.4</w:t>
            </w:r>
            <w:r w:rsidDel="00000000" w:rsidR="00000000" w:rsidRPr="00000000">
              <w:rPr>
                <w:rtl w:val="0"/>
              </w:rPr>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18">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2019</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19">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5</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1A">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4,573,834</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B">
            <w:pPr>
              <w:spacing w:after="0" w:lineRule="auto"/>
              <w:jc w:val="right"/>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8</w:t>
            </w:r>
            <w:r w:rsidDel="00000000" w:rsidR="00000000" w:rsidRPr="00000000">
              <w:rPr>
                <w:rtl w:val="0"/>
              </w:rPr>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1C">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2018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1D">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5</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1E">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4,650,508</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F">
            <w:pPr>
              <w:spacing w:after="0" w:lineRule="auto"/>
              <w:jc w:val="right"/>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8.2</w:t>
            </w:r>
            <w:r w:rsidDel="00000000" w:rsidR="00000000" w:rsidRPr="00000000">
              <w:rPr>
                <w:rtl w:val="0"/>
              </w:rPr>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20">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2017</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21">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6</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22">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6,241,489</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3">
            <w:pPr>
              <w:spacing w:after="0" w:lineRule="auto"/>
              <w:jc w:val="right"/>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11</w:t>
            </w:r>
            <w:r w:rsidDel="00000000" w:rsidR="00000000" w:rsidRPr="00000000">
              <w:rPr>
                <w:rtl w:val="0"/>
              </w:rPr>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24">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2016</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25">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6</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26">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1,659,093</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7">
            <w:pPr>
              <w:spacing w:after="0" w:lineRule="auto"/>
              <w:jc w:val="right"/>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2.9</w:t>
            </w:r>
            <w:r w:rsidDel="00000000" w:rsidR="00000000" w:rsidRPr="00000000">
              <w:rPr>
                <w:rtl w:val="0"/>
              </w:rPr>
            </w:r>
          </w:p>
        </w:tc>
      </w:tr>
      <w:tr>
        <w:trPr>
          <w:cantSplit w:val="0"/>
          <w:trHeight w:val="315" w:hRule="atLeast"/>
          <w:tblHeader w:val="0"/>
        </w:trPr>
        <w:tc>
          <w:tcPr>
            <w:tcBorders>
              <w:top w:color="000000" w:space="0" w:sz="0" w:val="nil"/>
              <w:left w:color="000000" w:space="0" w:sz="0" w:val="nil"/>
              <w:right w:color="000000" w:space="0" w:sz="0" w:val="nil"/>
            </w:tcBorders>
            <w:shd w:fill="auto" w:val="clear"/>
          </w:tcPr>
          <w:p w:rsidR="00000000" w:rsidDel="00000000" w:rsidP="00000000" w:rsidRDefault="00000000" w:rsidRPr="00000000" w14:paraId="00000228">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2015</w:t>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229">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7</w:t>
            </w: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22A">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279,097</w:t>
            </w:r>
            <w:r w:rsidDel="00000000" w:rsidR="00000000" w:rsidRPr="00000000">
              <w:rPr>
                <w:rtl w:val="0"/>
              </w:rPr>
            </w:r>
          </w:p>
        </w:tc>
        <w:tc>
          <w:tcPr>
            <w:tcBorders>
              <w:top w:color="000000" w:space="0" w:sz="0" w:val="nil"/>
              <w:left w:color="000000" w:space="0" w:sz="0" w:val="nil"/>
              <w:right w:color="000000" w:space="0" w:sz="0" w:val="nil"/>
            </w:tcBorders>
            <w:shd w:fill="auto" w:val="clear"/>
            <w:vAlign w:val="bottom"/>
          </w:tcPr>
          <w:p w:rsidR="00000000" w:rsidDel="00000000" w:rsidP="00000000" w:rsidRDefault="00000000" w:rsidRPr="00000000" w14:paraId="0000022B">
            <w:pPr>
              <w:spacing w:after="0" w:lineRule="auto"/>
              <w:jc w:val="right"/>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0.5</w:t>
            </w:r>
            <w:r w:rsidDel="00000000" w:rsidR="00000000" w:rsidRPr="00000000">
              <w:rPr>
                <w:rtl w:val="0"/>
              </w:rPr>
            </w:r>
          </w:p>
        </w:tc>
      </w:tr>
      <w:tr>
        <w:trPr>
          <w:cantSplit w:val="0"/>
          <w:trHeight w:val="315" w:hRule="atLeast"/>
          <w:tblHeader w:val="0"/>
        </w:trPr>
        <w:tc>
          <w:tcPr>
            <w:tcBorders>
              <w:top w:color="000000" w:space="0" w:sz="0" w:val="nil"/>
              <w:left w:color="000000" w:space="0" w:sz="0" w:val="nil"/>
              <w:right w:color="000000" w:space="0" w:sz="0" w:val="nil"/>
            </w:tcBorders>
            <w:shd w:fill="auto" w:val="clear"/>
          </w:tcPr>
          <w:p w:rsidR="00000000" w:rsidDel="00000000" w:rsidP="00000000" w:rsidRDefault="00000000" w:rsidRPr="00000000" w14:paraId="0000022C">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&lt;2014</w:t>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22D">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7</w:t>
            </w: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22E">
            <w:pPr>
              <w:spacing w:after="0" w:lineRule="auto"/>
              <w:jc w:val="center"/>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10,050,414</w:t>
            </w:r>
            <w:r w:rsidDel="00000000" w:rsidR="00000000" w:rsidRPr="00000000">
              <w:rPr>
                <w:rtl w:val="0"/>
              </w:rPr>
            </w:r>
          </w:p>
        </w:tc>
        <w:tc>
          <w:tcPr>
            <w:tcBorders>
              <w:top w:color="000000" w:space="0" w:sz="0" w:val="nil"/>
              <w:left w:color="000000" w:space="0" w:sz="0" w:val="nil"/>
              <w:right w:color="000000" w:space="0" w:sz="0" w:val="nil"/>
            </w:tcBorders>
            <w:shd w:fill="auto" w:val="clear"/>
            <w:vAlign w:val="bottom"/>
          </w:tcPr>
          <w:p w:rsidR="00000000" w:rsidDel="00000000" w:rsidP="00000000" w:rsidRDefault="00000000" w:rsidRPr="00000000" w14:paraId="0000022F">
            <w:pPr>
              <w:spacing w:after="0" w:lineRule="auto"/>
              <w:jc w:val="right"/>
              <w:rPr>
                <w:rFonts w:ascii="Arial" w:cs="Arial" w:eastAsia="Arial" w:hAnsi="Arial"/>
                <w:sz w:val="20"/>
                <w:szCs w:val="20"/>
              </w:rPr>
            </w:pPr>
            <w:r w:rsidDel="00000000" w:rsidR="00000000" w:rsidRPr="00000000">
              <w:rPr>
                <w:rFonts w:ascii="Arial" w:cs="Arial" w:eastAsia="Arial" w:hAnsi="Arial"/>
                <w:color w:val="000000"/>
                <w:sz w:val="18"/>
                <w:szCs w:val="18"/>
                <w:rtl w:val="0"/>
              </w:rPr>
              <w:t xml:space="preserve">17.7</w:t>
            </w:r>
            <w:r w:rsidDel="00000000" w:rsidR="00000000" w:rsidRPr="00000000">
              <w:rPr>
                <w:rtl w:val="0"/>
              </w:rPr>
            </w:r>
          </w:p>
        </w:tc>
      </w:tr>
      <w:tr>
        <w:trPr>
          <w:cantSplit w:val="0"/>
          <w:trHeight w:val="315" w:hRule="atLeast"/>
          <w:tblHeader w:val="0"/>
        </w:trPr>
        <w:tc>
          <w:tcPr>
            <w:tcBorders>
              <w:left w:color="000000" w:space="0" w:sz="0" w:val="nil"/>
              <w:bottom w:color="000000" w:space="0" w:sz="4" w:val="single"/>
              <w:right w:color="000000" w:space="0" w:sz="0" w:val="nil"/>
            </w:tcBorders>
            <w:shd w:fill="auto" w:val="clear"/>
          </w:tcPr>
          <w:p w:rsidR="00000000" w:rsidDel="00000000" w:rsidP="00000000" w:rsidRDefault="00000000" w:rsidRPr="00000000" w14:paraId="00000230">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No aplica </w:t>
            </w:r>
          </w:p>
        </w:tc>
        <w:tc>
          <w:tcPr>
            <w:tcBorders>
              <w:left w:color="000000" w:space="0" w:sz="0" w:val="nil"/>
              <w:bottom w:color="000000" w:space="0" w:sz="4" w:val="single"/>
              <w:right w:color="000000" w:space="0" w:sz="0" w:val="nil"/>
            </w:tcBorders>
            <w:shd w:fill="auto" w:val="clear"/>
          </w:tcPr>
          <w:p w:rsidR="00000000" w:rsidDel="00000000" w:rsidP="00000000" w:rsidRDefault="00000000" w:rsidRPr="00000000" w14:paraId="00000231">
            <w:pPr>
              <w:spacing w:after="0" w:lineRule="auto"/>
              <w:jc w:val="center"/>
              <w:rPr>
                <w:rFonts w:ascii="Arial" w:cs="Arial" w:eastAsia="Arial" w:hAnsi="Arial"/>
                <w:sz w:val="20"/>
                <w:szCs w:val="20"/>
              </w:rPr>
            </w:pPr>
            <w:r w:rsidDel="00000000" w:rsidR="00000000" w:rsidRPr="00000000">
              <w:rPr>
                <w:rFonts w:ascii="Arial" w:cs="Arial" w:eastAsia="Arial" w:hAnsi="Arial"/>
                <w:i w:val="1"/>
                <w:sz w:val="18"/>
                <w:szCs w:val="18"/>
                <w:rtl w:val="0"/>
              </w:rPr>
              <w:t xml:space="preserve">Sin dato</w:t>
            </w:r>
            <w:r w:rsidDel="00000000" w:rsidR="00000000" w:rsidRPr="00000000">
              <w:rPr>
                <w:rtl w:val="0"/>
              </w:rPr>
            </w:r>
          </w:p>
        </w:tc>
        <w:tc>
          <w:tcPr>
            <w:tcBorders>
              <w:left w:color="000000" w:space="0" w:sz="0" w:val="nil"/>
              <w:bottom w:color="000000" w:space="0" w:sz="4" w:val="single"/>
              <w:right w:color="000000" w:space="0" w:sz="0" w:val="nil"/>
            </w:tcBorders>
            <w:shd w:fill="auto" w:val="clear"/>
          </w:tcPr>
          <w:p w:rsidR="00000000" w:rsidDel="00000000" w:rsidP="00000000" w:rsidRDefault="00000000" w:rsidRPr="00000000" w14:paraId="00000232">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139,329,298</w:t>
            </w:r>
          </w:p>
        </w:tc>
        <w:tc>
          <w:tcPr>
            <w:tcBorders>
              <w:left w:color="000000" w:space="0" w:sz="0" w:val="nil"/>
              <w:bottom w:color="000000" w:space="0" w:sz="4" w:val="single"/>
              <w:right w:color="000000" w:space="0" w:sz="0" w:val="nil"/>
            </w:tcBorders>
            <w:shd w:fill="auto" w:val="clear"/>
          </w:tcPr>
          <w:p w:rsidR="00000000" w:rsidDel="00000000" w:rsidP="00000000" w:rsidRDefault="00000000" w:rsidRPr="00000000" w14:paraId="00000233">
            <w:pPr>
              <w:spacing w:after="0" w:lineRule="auto"/>
              <w:jc w:val="right"/>
              <w:rPr>
                <w:rFonts w:ascii="Arial" w:cs="Arial" w:eastAsia="Arial" w:hAnsi="Arial"/>
                <w:sz w:val="20"/>
                <w:szCs w:val="20"/>
              </w:rPr>
            </w:pPr>
            <w:r w:rsidDel="00000000" w:rsidR="00000000" w:rsidRPr="00000000">
              <w:rPr>
                <w:rFonts w:ascii="Arial" w:cs="Arial" w:eastAsia="Arial" w:hAnsi="Arial"/>
                <w:sz w:val="20"/>
                <w:szCs w:val="20"/>
                <w:rtl w:val="0"/>
              </w:rPr>
              <w:t xml:space="preserve">71</w:t>
            </w:r>
          </w:p>
        </w:tc>
      </w:tr>
      <w:tr>
        <w:trPr>
          <w:cantSplit w:val="0"/>
          <w:trHeight w:val="315" w:hRule="atLeast"/>
          <w:tblHeader w:val="0"/>
        </w:trPr>
        <w:tc>
          <w:tcPr>
            <w:gridSpan w:val="2"/>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34">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36">
            <w:pPr>
              <w:spacing w:after="0" w:lineRule="auto"/>
              <w:jc w:val="center"/>
              <w:rPr>
                <w:rFonts w:ascii="Arial" w:cs="Arial" w:eastAsia="Arial" w:hAnsi="Arial"/>
                <w:b w:val="1"/>
                <w:sz w:val="20"/>
                <w:szCs w:val="20"/>
              </w:rPr>
            </w:pPr>
            <w:r w:rsidDel="00000000" w:rsidR="00000000" w:rsidRPr="00000000">
              <w:rPr>
                <w:rFonts w:ascii="Arial" w:cs="Arial" w:eastAsia="Arial" w:hAnsi="Arial"/>
                <w:b w:val="1"/>
                <w:color w:val="000000"/>
                <w:sz w:val="18"/>
                <w:szCs w:val="18"/>
                <w:rtl w:val="0"/>
              </w:rPr>
              <w:t xml:space="preserve">196,229,208</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37">
            <w:pPr>
              <w:spacing w:after="0" w:lineRule="auto"/>
              <w:jc w:val="center"/>
              <w:rPr>
                <w:rFonts w:ascii="Arial" w:cs="Arial" w:eastAsia="Arial" w:hAnsi="Arial"/>
                <w:b w:val="1"/>
                <w:sz w:val="20"/>
                <w:szCs w:val="20"/>
              </w:rPr>
            </w:pPr>
            <w:r w:rsidDel="00000000" w:rsidR="00000000" w:rsidRPr="00000000">
              <w:rPr>
                <w:rFonts w:ascii="Arial" w:cs="Arial" w:eastAsia="Arial" w:hAnsi="Arial"/>
                <w:b w:val="1"/>
                <w:color w:val="000000"/>
                <w:sz w:val="18"/>
                <w:szCs w:val="18"/>
                <w:rtl w:val="0"/>
              </w:rPr>
              <w:t xml:space="preserve">100</w:t>
            </w:r>
            <w:r w:rsidDel="00000000" w:rsidR="00000000" w:rsidRPr="00000000">
              <w:rPr>
                <w:rtl w:val="0"/>
              </w:rPr>
            </w:r>
          </w:p>
        </w:tc>
      </w:tr>
    </w:tbl>
    <w:p w:rsidR="00000000" w:rsidDel="00000000" w:rsidP="00000000" w:rsidRDefault="00000000" w:rsidRPr="00000000" w14:paraId="00000238">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39">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1361" cy="3968113"/>
            <wp:effectExtent b="0" l="0" r="0" t="0"/>
            <wp:docPr id="2101763742"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5611361" cy="3968113"/>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7. Variable 2: Polígonos de incendios forestales de 2010 a 2023 por categorías para el componente de riesgo.</w:t>
      </w:r>
    </w:p>
    <w:p w:rsidR="00000000" w:rsidDel="00000000" w:rsidP="00000000" w:rsidRDefault="00000000" w:rsidRPr="00000000" w14:paraId="0000023B">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3C">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3D">
      <w:pPr>
        <w:pStyle w:val="Heading2"/>
        <w:rPr>
          <w:color w:val="135b42"/>
          <w:sz w:val="22"/>
          <w:szCs w:val="22"/>
        </w:rPr>
      </w:pPr>
      <w:bookmarkStart w:colFirst="0" w:colLast="0" w:name="_heading=h.5mgen4c63thl" w:id="30"/>
      <w:bookmarkEnd w:id="30"/>
      <w:r w:rsidDel="00000000" w:rsidR="00000000" w:rsidRPr="00000000">
        <w:rPr>
          <w:color w:val="135b42"/>
          <w:sz w:val="22"/>
          <w:szCs w:val="22"/>
          <w:rtl w:val="0"/>
        </w:rPr>
        <w:t xml:space="preserve">Mapa del componente riesgo de ocurrencia por incendios forestales</w:t>
      </w:r>
    </w:p>
    <w:p w:rsidR="00000000" w:rsidDel="00000000" w:rsidP="00000000" w:rsidRDefault="00000000" w:rsidRPr="00000000" w14:paraId="0000023E">
      <w:pPr>
        <w:jc w:val="both"/>
        <w:rPr>
          <w:rFonts w:ascii="Arial" w:cs="Arial" w:eastAsia="Arial" w:hAnsi="Arial"/>
          <w:sz w:val="20"/>
          <w:szCs w:val="20"/>
        </w:rPr>
      </w:pPr>
      <w:bookmarkStart w:colFirst="0" w:colLast="0" w:name="_heading=h.49x2ik5" w:id="31"/>
      <w:bookmarkEnd w:id="31"/>
      <w:r w:rsidDel="00000000" w:rsidR="00000000" w:rsidRPr="00000000">
        <w:rPr>
          <w:rFonts w:ascii="Arial" w:cs="Arial" w:eastAsia="Arial" w:hAnsi="Arial"/>
          <w:sz w:val="20"/>
          <w:szCs w:val="20"/>
          <w:rtl w:val="0"/>
        </w:rPr>
        <w:t xml:space="preserve">Para generar el mapa del criterio de riesgo, se combinan las dos capas descritas anteriormente, ambos reclasificados a ocho clases (Figura 8). Se realiza una operación de superposición donde la nueva capa se crea tomando los valores de las celdas de la capa polígonos de incendios y los valores restantes del ráster se toman de la capa riesgo de incendio. Esta capa tiene valores de 0 a 7, donde considera todas estas variables antrópicas y de biomasa forestal para indicarnos los lugares con mayor probabilidad de que ocurra un incendio (Cuadro 8), a partir de la información de donde se han presentado mayor frecuencia y que tienen una cantidad de biomasa determinada. </w:t>
      </w:r>
    </w:p>
    <w:tbl>
      <w:tblPr>
        <w:tblStyle w:val="Table7"/>
        <w:tblW w:w="8837.0" w:type="dxa"/>
        <w:jc w:val="center"/>
        <w:tblLayout w:type="fixed"/>
        <w:tblLook w:val="0400"/>
      </w:tblPr>
      <w:tblGrid>
        <w:gridCol w:w="1941"/>
        <w:gridCol w:w="1206"/>
        <w:gridCol w:w="2418"/>
        <w:gridCol w:w="2613"/>
        <w:gridCol w:w="659"/>
        <w:tblGridChange w:id="0">
          <w:tblGrid>
            <w:gridCol w:w="1941"/>
            <w:gridCol w:w="1206"/>
            <w:gridCol w:w="2418"/>
            <w:gridCol w:w="2613"/>
            <w:gridCol w:w="659"/>
          </w:tblGrid>
        </w:tblGridChange>
      </w:tblGrid>
      <w:tr>
        <w:trPr>
          <w:cantSplit w:val="0"/>
          <w:trHeight w:val="128" w:hRule="atLeast"/>
          <w:tblHeader w:val="0"/>
        </w:trPr>
        <w:tc>
          <w:tcPr>
            <w:gridSpan w:val="5"/>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3F">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00000"/>
                <w:sz w:val="18"/>
                <w:szCs w:val="18"/>
              </w:rPr>
            </w:pPr>
            <w:bookmarkStart w:colFirst="0" w:colLast="0" w:name="_heading=h.2p2csry" w:id="32"/>
            <w:bookmarkEnd w:id="32"/>
            <w:r w:rsidDel="00000000" w:rsidR="00000000" w:rsidRPr="00000000">
              <w:rPr>
                <w:rFonts w:ascii="Arial" w:cs="Arial" w:eastAsia="Arial" w:hAnsi="Arial"/>
                <w:i w:val="1"/>
                <w:color w:val="0e2841"/>
                <w:sz w:val="20"/>
                <w:szCs w:val="20"/>
                <w:rtl w:val="0"/>
              </w:rPr>
              <w:t xml:space="preserve"> Cuadro 8. Categorías de la capa de Riesgo de ocurrencia de incendios forestales</w:t>
            </w:r>
            <w:r w:rsidDel="00000000" w:rsidR="00000000" w:rsidRPr="00000000">
              <w:rPr>
                <w:rtl w:val="0"/>
              </w:rPr>
            </w:r>
          </w:p>
        </w:tc>
      </w:tr>
      <w:tr>
        <w:trPr>
          <w:cantSplit w:val="0"/>
          <w:trHeight w:val="28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44">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sz w:val="18"/>
                <w:szCs w:val="18"/>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45">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VALOR</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46">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47">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48">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49">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 aplica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4A">
            <w:pPr>
              <w:spacing w:after="0" w:line="240" w:lineRule="auto"/>
              <w:jc w:val="center"/>
              <w:rPr>
                <w:rFonts w:ascii="Arial" w:cs="Arial" w:eastAsia="Arial" w:hAnsi="Arial"/>
                <w:color w:val="000000"/>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4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4C">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61,000,532</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4D">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31.1</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4E">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Muy baja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4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&lt; 20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5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5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30,408,647</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52">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15.5</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53">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Baja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5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20 - 25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5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5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60,044,495</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57">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30.6</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58">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Media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5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25 - 35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5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5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14,878,211</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5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7.6</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5D">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Media -alta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5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35 - 48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5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6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9,239,477</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61">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4.7</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62">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Ala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6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48 - 60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6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6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10,930,199</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66">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5.6</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67">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Muy alta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6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60 - 85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6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6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7,030,815</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6B">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3.6</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6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Extrema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6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85 - 100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6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7</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6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2,696,831</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70">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1.4</w:t>
            </w:r>
          </w:p>
        </w:tc>
      </w:tr>
      <w:tr>
        <w:trPr>
          <w:cantSplit w:val="0"/>
          <w:trHeight w:val="285" w:hRule="atLeast"/>
          <w:tblHeader w:val="0"/>
        </w:trPr>
        <w:tc>
          <w:tcPr>
            <w:gridSpan w:val="3"/>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71">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74">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75">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bl>
    <w:p w:rsidR="00000000" w:rsidDel="00000000" w:rsidP="00000000" w:rsidRDefault="00000000" w:rsidRPr="00000000" w14:paraId="00000276">
      <w:pPr>
        <w:spacing w:after="0" w:lineRule="auto"/>
        <w:jc w:val="both"/>
        <w:rPr>
          <w:rFonts w:ascii="Arial" w:cs="Arial" w:eastAsia="Arial" w:hAnsi="Arial"/>
          <w:b w:val="1"/>
          <w:sz w:val="20"/>
          <w:szCs w:val="20"/>
        </w:rPr>
      </w:pPr>
      <w:r w:rsidDel="00000000" w:rsidR="00000000" w:rsidRPr="00000000">
        <w:rPr>
          <w:rFonts w:ascii="Arial" w:cs="Arial" w:eastAsia="Arial" w:hAnsi="Arial"/>
          <w:sz w:val="20"/>
          <w:szCs w:val="20"/>
        </w:rPr>
        <w:drawing>
          <wp:inline distB="0" distT="0" distL="0" distR="0">
            <wp:extent cx="5684058" cy="4019522"/>
            <wp:effectExtent b="0" l="0" r="0" t="0"/>
            <wp:docPr id="2101763746" name="image25.png"/>
            <a:graphic>
              <a:graphicData uri="http://schemas.openxmlformats.org/drawingml/2006/picture">
                <pic:pic>
                  <pic:nvPicPr>
                    <pic:cNvPr id="0" name="image25.png"/>
                    <pic:cNvPicPr preferRelativeResize="0"/>
                  </pic:nvPicPr>
                  <pic:blipFill>
                    <a:blip r:embed="rId23"/>
                    <a:srcRect b="0" l="0" r="0" t="0"/>
                    <a:stretch>
                      <a:fillRect/>
                    </a:stretch>
                  </pic:blipFill>
                  <pic:spPr>
                    <a:xfrm>
                      <a:off x="0" y="0"/>
                      <a:ext cx="5684058" cy="4019522"/>
                    </a:xfrm>
                    <a:prstGeom prst="rect"/>
                    <a:ln/>
                  </pic:spPr>
                </pic:pic>
              </a:graphicData>
            </a:graphic>
          </wp:inline>
        </w:drawing>
      </w:r>
      <w:r w:rsidDel="00000000" w:rsidR="00000000" w:rsidRPr="00000000">
        <w:rPr>
          <w:rtl w:val="0"/>
        </w:rPr>
      </w:r>
    </w:p>
    <w:p w:rsidR="00000000" w:rsidDel="00000000" w:rsidP="00000000" w:rsidRDefault="00000000" w:rsidRPr="00000000" w14:paraId="00000277">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b w:val="1"/>
          <w:i w:val="1"/>
          <w:color w:val="0e2841"/>
          <w:sz w:val="14"/>
          <w:szCs w:val="14"/>
        </w:rPr>
      </w:pPr>
      <w:bookmarkStart w:colFirst="0" w:colLast="0" w:name="_heading=h.147n2zr" w:id="33"/>
      <w:bookmarkEnd w:id="33"/>
      <w:r w:rsidDel="00000000" w:rsidR="00000000" w:rsidRPr="00000000">
        <w:rPr>
          <w:rFonts w:ascii="Arial" w:cs="Arial" w:eastAsia="Arial" w:hAnsi="Arial"/>
          <w:i w:val="1"/>
          <w:color w:val="0e2841"/>
          <w:sz w:val="20"/>
          <w:szCs w:val="20"/>
          <w:rtl w:val="0"/>
        </w:rPr>
        <w:t xml:space="preserve">Figura 8. Componente 1: Riesgo de ocurrencia por incendios forestales por categorías para el mapa de áreas prioritarias.</w:t>
      </w:r>
      <w:r w:rsidDel="00000000" w:rsidR="00000000" w:rsidRPr="00000000">
        <w:br w:type="page"/>
      </w:r>
      <w:r w:rsidDel="00000000" w:rsidR="00000000" w:rsidRPr="00000000">
        <w:rPr>
          <w:rtl w:val="0"/>
        </w:rPr>
      </w:r>
    </w:p>
    <w:p w:rsidR="00000000" w:rsidDel="00000000" w:rsidP="00000000" w:rsidRDefault="00000000" w:rsidRPr="00000000" w14:paraId="00000278">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descripción estatal dentro de este componente, se realiza en cuanto a la proporción que representa cada categoría en función de la superficie total de cada estado, para normalizar la variabilidad superficial de estos. Los estados con mayor porcentaje de superficie en niveles de riesgo </w:t>
      </w:r>
      <w:r w:rsidDel="00000000" w:rsidR="00000000" w:rsidRPr="00000000">
        <w:rPr>
          <w:rFonts w:ascii="Arial" w:cs="Arial" w:eastAsia="Arial" w:hAnsi="Arial"/>
          <w:i w:val="1"/>
          <w:sz w:val="20"/>
          <w:szCs w:val="20"/>
          <w:rtl w:val="0"/>
        </w:rPr>
        <w:t xml:space="preserve">muy alto </w:t>
      </w:r>
      <w:r w:rsidDel="00000000" w:rsidR="00000000" w:rsidRPr="00000000">
        <w:rPr>
          <w:rFonts w:ascii="Arial" w:cs="Arial" w:eastAsia="Arial" w:hAnsi="Arial"/>
          <w:sz w:val="20"/>
          <w:szCs w:val="20"/>
          <w:rtl w:val="0"/>
        </w:rPr>
        <w:t xml:space="preserve">y </w:t>
      </w:r>
      <w:r w:rsidDel="00000000" w:rsidR="00000000" w:rsidRPr="00000000">
        <w:rPr>
          <w:rFonts w:ascii="Arial" w:cs="Arial" w:eastAsia="Arial" w:hAnsi="Arial"/>
          <w:i w:val="1"/>
          <w:sz w:val="20"/>
          <w:szCs w:val="20"/>
          <w:rtl w:val="0"/>
        </w:rPr>
        <w:t xml:space="preserve">extremo,</w:t>
      </w:r>
      <w:r w:rsidDel="00000000" w:rsidR="00000000" w:rsidRPr="00000000">
        <w:rPr>
          <w:rFonts w:ascii="Arial" w:cs="Arial" w:eastAsia="Arial" w:hAnsi="Arial"/>
          <w:sz w:val="20"/>
          <w:szCs w:val="20"/>
          <w:rtl w:val="0"/>
        </w:rPr>
        <w:t xml:space="preserve"> son Colima, México, Michoacán, Ciudad de México y Jalisco (Figura 9). La relación de la densidad de población y carreteras es directamente proporcional a la ocurrencia de incendios forestales, aunque podría relacionarse con la cercanía de las actividades agropecuarias y su distribución espacial sobre la interfaz agrícola. Por otra parte, se presentaron porcentajes muy bajos o casi nulos en los estados de, Tamaulipas, Yucatán, Campeche, Baja California Sur y Nuevo León, probablemente debido a que la densidad y carreteras es más baja.Es importante considerar que los lugares donde más se han presentado incendios es sobre la Sierra Madre Oriental (para los estados de Tamaulipas y Nuevo León), en los ecosistemas con gradientes templados a semiáridos. En la región sureste, en las selvas altas y medianas tropicales de los estados de Yucatán y Campeche.</w:t>
      </w:r>
    </w:p>
    <w:p w:rsidR="00000000" w:rsidDel="00000000" w:rsidP="00000000" w:rsidRDefault="00000000" w:rsidRPr="00000000" w14:paraId="00000279">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512385" cy="5512385"/>
            <wp:effectExtent b="0" l="0" r="0" t="0"/>
            <wp:docPr id="2101763744" name="image30.png"/>
            <a:graphic>
              <a:graphicData uri="http://schemas.openxmlformats.org/drawingml/2006/picture">
                <pic:pic>
                  <pic:nvPicPr>
                    <pic:cNvPr id="0" name="image30.png"/>
                    <pic:cNvPicPr preferRelativeResize="0"/>
                  </pic:nvPicPr>
                  <pic:blipFill>
                    <a:blip r:embed="rId24"/>
                    <a:srcRect b="0" l="0" r="0" t="0"/>
                    <a:stretch>
                      <a:fillRect/>
                    </a:stretch>
                  </pic:blipFill>
                  <pic:spPr>
                    <a:xfrm>
                      <a:off x="0" y="0"/>
                      <a:ext cx="5512385" cy="5512385"/>
                    </a:xfrm>
                    <a:prstGeom prst="rect"/>
                    <a:ln/>
                  </pic:spPr>
                </pic:pic>
              </a:graphicData>
            </a:graphic>
          </wp:inline>
        </w:drawing>
      </w:r>
      <w:r w:rsidDel="00000000" w:rsidR="00000000" w:rsidRPr="00000000">
        <w:rPr>
          <w:rtl w:val="0"/>
        </w:rPr>
      </w:r>
    </w:p>
    <w:p w:rsidR="00000000" w:rsidDel="00000000" w:rsidP="00000000" w:rsidRDefault="00000000" w:rsidRPr="00000000" w14:paraId="0000027A">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14"/>
          <w:szCs w:val="14"/>
        </w:rPr>
      </w:pPr>
      <w:bookmarkStart w:colFirst="0" w:colLast="0" w:name="_heading=h.3o7alnk" w:id="34"/>
      <w:bookmarkEnd w:id="34"/>
      <w:r w:rsidDel="00000000" w:rsidR="00000000" w:rsidRPr="00000000">
        <w:rPr>
          <w:rFonts w:ascii="Arial" w:cs="Arial" w:eastAsia="Arial" w:hAnsi="Arial"/>
          <w:i w:val="1"/>
          <w:color w:val="0e2841"/>
          <w:sz w:val="20"/>
          <w:szCs w:val="20"/>
          <w:rtl w:val="0"/>
        </w:rPr>
        <w:t xml:space="preserve">Figura 9. Distribución proporcional por categoría del componente de riesgo de acuerdo con la superficie total de cada estado.</w:t>
      </w:r>
      <w:r w:rsidDel="00000000" w:rsidR="00000000" w:rsidRPr="00000000">
        <w:br w:type="page"/>
      </w:r>
      <w:r w:rsidDel="00000000" w:rsidR="00000000" w:rsidRPr="00000000">
        <w:rPr>
          <w:rtl w:val="0"/>
        </w:rPr>
      </w:r>
    </w:p>
    <w:p w:rsidR="00000000" w:rsidDel="00000000" w:rsidP="00000000" w:rsidRDefault="00000000" w:rsidRPr="00000000" w14:paraId="0000027B">
      <w:pPr>
        <w:pStyle w:val="Heading1"/>
        <w:rPr>
          <w:b w:val="1"/>
          <w:color w:val="135b42"/>
          <w:sz w:val="32"/>
          <w:szCs w:val="32"/>
        </w:rPr>
      </w:pPr>
      <w:bookmarkStart w:colFirst="0" w:colLast="0" w:name="_heading=h.kw1c1bp0cmtu" w:id="35"/>
      <w:bookmarkEnd w:id="35"/>
      <w:r w:rsidDel="00000000" w:rsidR="00000000" w:rsidRPr="00000000">
        <w:rPr>
          <w:b w:val="1"/>
          <w:color w:val="135b42"/>
          <w:sz w:val="32"/>
          <w:szCs w:val="32"/>
          <w:rtl w:val="0"/>
        </w:rPr>
        <w:t xml:space="preserve">Componente de peligro</w:t>
      </w:r>
    </w:p>
    <w:p w:rsidR="00000000" w:rsidDel="00000000" w:rsidP="00000000" w:rsidRDefault="00000000" w:rsidRPr="00000000" w14:paraId="0000027C">
      <w:pPr>
        <w:jc w:val="both"/>
        <w:rPr>
          <w:rFonts w:ascii="Arial" w:cs="Arial" w:eastAsia="Arial" w:hAnsi="Arial"/>
          <w:sz w:val="20"/>
          <w:szCs w:val="20"/>
        </w:rPr>
      </w:pPr>
      <w:bookmarkStart w:colFirst="0" w:colLast="0" w:name="_heading=h.ihv636" w:id="36"/>
      <w:bookmarkEnd w:id="36"/>
      <w:r w:rsidDel="00000000" w:rsidR="00000000" w:rsidRPr="00000000">
        <w:rPr>
          <w:rFonts w:ascii="Arial" w:cs="Arial" w:eastAsia="Arial" w:hAnsi="Arial"/>
          <w:sz w:val="20"/>
          <w:szCs w:val="20"/>
          <w:rtl w:val="0"/>
        </w:rPr>
        <w:t xml:space="preserve">Considera las variables que propician la ignición de mayor intensidad y comportamiento extremo dada una determinada cantidad de biomasa. Esta capa se compone solo de la siguiente capa reclasificada (Figura 10).</w:t>
      </w:r>
    </w:p>
    <w:p w:rsidR="00000000" w:rsidDel="00000000" w:rsidP="00000000" w:rsidRDefault="00000000" w:rsidRPr="00000000" w14:paraId="0000027D">
      <w:pPr>
        <w:pStyle w:val="Heading2"/>
        <w:rPr>
          <w:color w:val="135b42"/>
          <w:sz w:val="22"/>
          <w:szCs w:val="22"/>
        </w:rPr>
      </w:pPr>
      <w:bookmarkStart w:colFirst="0" w:colLast="0" w:name="_heading=h.z6jx5itcst77" w:id="37"/>
      <w:bookmarkEnd w:id="37"/>
      <w:r w:rsidDel="00000000" w:rsidR="00000000" w:rsidRPr="00000000">
        <w:rPr>
          <w:color w:val="135b42"/>
          <w:sz w:val="22"/>
          <w:szCs w:val="22"/>
          <w:rtl w:val="0"/>
        </w:rPr>
        <w:t xml:space="preserve">Intensidad calórica esperada a nivel de biomasa forestal</w:t>
      </w:r>
    </w:p>
    <w:p w:rsidR="00000000" w:rsidDel="00000000" w:rsidP="00000000" w:rsidRDefault="00000000" w:rsidRPr="00000000" w14:paraId="0000027E">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capa de intensidad calórica por biomasa esperada es una herramienta crucial para la prevención y combate de incendios forestales. Utilizando datos normalizados de la </w:t>
      </w:r>
      <w:r w:rsidDel="00000000" w:rsidR="00000000" w:rsidRPr="00000000">
        <w:rPr>
          <w:rFonts w:ascii="Arial" w:cs="Arial" w:eastAsia="Arial" w:hAnsi="Arial"/>
          <w:i w:val="1"/>
          <w:sz w:val="20"/>
          <w:szCs w:val="20"/>
          <w:rtl w:val="0"/>
        </w:rPr>
        <w:t xml:space="preserve">potencia radiativa del fuego</w:t>
      </w:r>
      <w:r w:rsidDel="00000000" w:rsidR="00000000" w:rsidRPr="00000000">
        <w:rPr>
          <w:rFonts w:ascii="Arial" w:cs="Arial" w:eastAsia="Arial" w:hAnsi="Arial"/>
          <w:sz w:val="20"/>
          <w:szCs w:val="20"/>
          <w:rtl w:val="0"/>
        </w:rPr>
        <w:t xml:space="preserve"> (MW/km</w:t>
      </w:r>
      <w:r w:rsidDel="00000000" w:rsidR="00000000" w:rsidRPr="00000000">
        <w:rPr>
          <w:rFonts w:ascii="Arial" w:cs="Arial" w:eastAsia="Arial" w:hAnsi="Arial"/>
          <w:sz w:val="20"/>
          <w:szCs w:val="20"/>
          <w:vertAlign w:val="superscript"/>
          <w:rtl w:val="0"/>
        </w:rPr>
        <w:t xml:space="preserve">2</w:t>
      </w:r>
      <w:r w:rsidDel="00000000" w:rsidR="00000000" w:rsidRPr="00000000">
        <w:rPr>
          <w:rFonts w:ascii="Arial" w:cs="Arial" w:eastAsia="Arial" w:hAnsi="Arial"/>
          <w:sz w:val="20"/>
          <w:szCs w:val="20"/>
          <w:rtl w:val="0"/>
        </w:rPr>
        <w:t xml:space="preserve">) (FRP, referente a sus siglas en inglés </w:t>
      </w:r>
      <w:r w:rsidDel="00000000" w:rsidR="00000000" w:rsidRPr="00000000">
        <w:rPr>
          <w:rFonts w:ascii="Arial" w:cs="Arial" w:eastAsia="Arial" w:hAnsi="Arial"/>
          <w:i w:val="1"/>
          <w:sz w:val="20"/>
          <w:szCs w:val="20"/>
          <w:rtl w:val="0"/>
        </w:rPr>
        <w:t xml:space="preserve">Fire Radiative Power</w:t>
      </w:r>
      <w:r w:rsidDel="00000000" w:rsidR="00000000" w:rsidRPr="00000000">
        <w:rPr>
          <w:rFonts w:ascii="Arial" w:cs="Arial" w:eastAsia="Arial" w:hAnsi="Arial"/>
          <w:sz w:val="20"/>
          <w:szCs w:val="20"/>
          <w:rtl w:val="0"/>
        </w:rPr>
        <w:t xml:space="preserve">) y biomasa total (ton/ha), expresada como densidad de carbono sobre el suelo (Cartus et al. 2014)</w:t>
      </w:r>
    </w:p>
    <w:p w:rsidR="00000000" w:rsidDel="00000000" w:rsidP="00000000" w:rsidRDefault="00000000" w:rsidRPr="00000000" w14:paraId="0000027F">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Dada la geometría del escaneo de MODIS, los píxeles pueden variar significativamente en tamaño desde el nadir (1 x 1 km) hasta el borde del escaneo (2 km x 5 km). Esta variabilidad puede producir un sesgo en la estimación del FRP, ya que los píxeles más grandes pueden capturar más energía radiativa, pero no necesariamente indican una mayor intensidad del incendio. Por ello se normaliza el FRP dividiéndolo por el área del píxel (Ecuación 1), obteniendo así el FRP normalizado (FRPn), para asegurar que las comparaciones de la intensidad del incendio sean precisas y equitativas, independientemente del tamaño del píxel utilizado por el satélite (Fu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2020).</w:t>
      </w:r>
    </w:p>
    <w:tbl>
      <w:tblPr>
        <w:tblStyle w:val="Table8"/>
        <w:tblW w:w="882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222"/>
        <w:gridCol w:w="606"/>
        <w:tblGridChange w:id="0">
          <w:tblGrid>
            <w:gridCol w:w="8222"/>
            <w:gridCol w:w="606"/>
          </w:tblGrid>
        </w:tblGridChange>
      </w:tblGrid>
      <w:tr>
        <w:trPr>
          <w:cantSplit w:val="0"/>
          <w:tblHeader w:val="0"/>
        </w:trPr>
        <w:tc>
          <w:tcPr>
            <w:vAlign w:val="center"/>
          </w:tcPr>
          <w:p w:rsidR="00000000" w:rsidDel="00000000" w:rsidP="00000000" w:rsidRDefault="00000000" w:rsidRPr="00000000" w14:paraId="00000280">
            <w:pPr>
              <w:jc w:val="center"/>
              <w:rPr>
                <w:rFonts w:ascii="Arial" w:cs="Arial" w:eastAsia="Arial" w:hAnsi="Arial"/>
                <w:i w:val="1"/>
                <w:sz w:val="20"/>
                <w:szCs w:val="20"/>
              </w:rPr>
            </w:pPr>
            <w:r w:rsidDel="00000000" w:rsidR="00000000" w:rsidRPr="00000000">
              <w:rPr>
                <w:rFonts w:ascii="Arial" w:cs="Arial" w:eastAsia="Arial" w:hAnsi="Arial"/>
                <w:b w:val="1"/>
                <w:i w:val="1"/>
                <w:sz w:val="20"/>
                <w:szCs w:val="20"/>
                <w:rtl w:val="0"/>
              </w:rPr>
              <w:t xml:space="preserve">FRP</w:t>
            </w:r>
            <w:r w:rsidDel="00000000" w:rsidR="00000000" w:rsidRPr="00000000">
              <w:rPr>
                <w:rFonts w:ascii="Arial" w:cs="Arial" w:eastAsia="Arial" w:hAnsi="Arial"/>
                <w:b w:val="1"/>
                <w:i w:val="1"/>
                <w:sz w:val="20"/>
                <w:szCs w:val="20"/>
                <w:vertAlign w:val="subscript"/>
                <w:rtl w:val="0"/>
              </w:rPr>
              <w:t xml:space="preserve">n</w:t>
            </w:r>
            <w:r w:rsidDel="00000000" w:rsidR="00000000" w:rsidRPr="00000000">
              <w:rPr>
                <w:rFonts w:ascii="Arial" w:cs="Arial" w:eastAsia="Arial" w:hAnsi="Arial"/>
                <w:i w:val="1"/>
                <w:sz w:val="20"/>
                <w:szCs w:val="20"/>
                <w:rtl w:val="0"/>
              </w:rPr>
              <w:t xml:space="preserve"> = FRP / (S × T)</w:t>
            </w:r>
          </w:p>
        </w:tc>
        <w:tc>
          <w:tcPr>
            <w:vAlign w:val="center"/>
          </w:tcPr>
          <w:p w:rsidR="00000000" w:rsidDel="00000000" w:rsidP="00000000" w:rsidRDefault="00000000" w:rsidRPr="00000000" w14:paraId="00000281">
            <w:pPr>
              <w:jc w:val="center"/>
              <w:rPr>
                <w:rFonts w:ascii="Arial" w:cs="Arial" w:eastAsia="Arial" w:hAnsi="Arial"/>
                <w:sz w:val="20"/>
                <w:szCs w:val="20"/>
              </w:rPr>
            </w:pPr>
            <w:bookmarkStart w:colFirst="0" w:colLast="0" w:name="_heading=h.1hmsyys" w:id="38"/>
            <w:bookmarkEnd w:id="38"/>
            <w:r w:rsidDel="00000000" w:rsidR="00000000" w:rsidRPr="00000000">
              <w:rPr>
                <w:rFonts w:ascii="Arial" w:cs="Arial" w:eastAsia="Arial" w:hAnsi="Arial"/>
                <w:sz w:val="20"/>
                <w:szCs w:val="20"/>
                <w:rtl w:val="0"/>
              </w:rPr>
              <w:t xml:space="preserve">1</w:t>
            </w:r>
          </w:p>
        </w:tc>
      </w:tr>
    </w:tbl>
    <w:p w:rsidR="00000000" w:rsidDel="00000000" w:rsidP="00000000" w:rsidRDefault="00000000" w:rsidRPr="00000000" w14:paraId="00000282">
      <w:pPr>
        <w:spacing w:before="240" w:lineRule="auto"/>
        <w:jc w:val="both"/>
        <w:rPr>
          <w:rFonts w:ascii="Arial" w:cs="Arial" w:eastAsia="Arial" w:hAnsi="Arial"/>
          <w:i w:val="1"/>
          <w:sz w:val="16"/>
          <w:szCs w:val="16"/>
        </w:rPr>
      </w:pPr>
      <w:r w:rsidDel="00000000" w:rsidR="00000000" w:rsidRPr="00000000">
        <w:rPr>
          <w:rFonts w:ascii="Arial" w:cs="Arial" w:eastAsia="Arial" w:hAnsi="Arial"/>
          <w:i w:val="1"/>
          <w:sz w:val="16"/>
          <w:szCs w:val="16"/>
          <w:rtl w:val="0"/>
        </w:rPr>
        <w:t xml:space="preserve">Donde </w:t>
      </w:r>
      <w:r w:rsidDel="00000000" w:rsidR="00000000" w:rsidRPr="00000000">
        <w:rPr>
          <w:rFonts w:ascii="Arial" w:cs="Arial" w:eastAsia="Arial" w:hAnsi="Arial"/>
          <w:b w:val="1"/>
          <w:i w:val="1"/>
          <w:sz w:val="16"/>
          <w:szCs w:val="16"/>
          <w:rtl w:val="0"/>
        </w:rPr>
        <w:t xml:space="preserve">FRPn </w:t>
      </w:r>
      <w:r w:rsidDel="00000000" w:rsidR="00000000" w:rsidRPr="00000000">
        <w:rPr>
          <w:rFonts w:ascii="Arial" w:cs="Arial" w:eastAsia="Arial" w:hAnsi="Arial"/>
          <w:i w:val="1"/>
          <w:sz w:val="16"/>
          <w:szCs w:val="16"/>
          <w:rtl w:val="0"/>
        </w:rPr>
        <w:t xml:space="preserve">= Potencial radiativo del fuego normalizado (MW/km</w:t>
      </w:r>
      <w:r w:rsidDel="00000000" w:rsidR="00000000" w:rsidRPr="00000000">
        <w:rPr>
          <w:rFonts w:ascii="Arial" w:cs="Arial" w:eastAsia="Arial" w:hAnsi="Arial"/>
          <w:i w:val="1"/>
          <w:sz w:val="16"/>
          <w:szCs w:val="16"/>
          <w:vertAlign w:val="superscript"/>
          <w:rtl w:val="0"/>
        </w:rPr>
        <w:t xml:space="preserve">2</w:t>
      </w:r>
      <w:r w:rsidDel="00000000" w:rsidR="00000000" w:rsidRPr="00000000">
        <w:rPr>
          <w:rFonts w:ascii="Arial" w:cs="Arial" w:eastAsia="Arial" w:hAnsi="Arial"/>
          <w:i w:val="1"/>
          <w:sz w:val="16"/>
          <w:szCs w:val="16"/>
          <w:rtl w:val="0"/>
        </w:rPr>
        <w:t xml:space="preserve">), FRP = Poder radiativo del fuego (MW/km</w:t>
      </w:r>
      <w:r w:rsidDel="00000000" w:rsidR="00000000" w:rsidRPr="00000000">
        <w:rPr>
          <w:rFonts w:ascii="Arial" w:cs="Arial" w:eastAsia="Arial" w:hAnsi="Arial"/>
          <w:i w:val="1"/>
          <w:sz w:val="16"/>
          <w:szCs w:val="16"/>
          <w:vertAlign w:val="superscript"/>
          <w:rtl w:val="0"/>
        </w:rPr>
        <w:t xml:space="preserve">2</w:t>
      </w:r>
      <w:r w:rsidDel="00000000" w:rsidR="00000000" w:rsidRPr="00000000">
        <w:rPr>
          <w:rFonts w:ascii="Arial" w:cs="Arial" w:eastAsia="Arial" w:hAnsi="Arial"/>
          <w:i w:val="1"/>
          <w:sz w:val="16"/>
          <w:szCs w:val="16"/>
          <w:rtl w:val="0"/>
        </w:rPr>
        <w:t xml:space="preserve">), S = Scan, T = Track (variables que se encuentran dentro de los atributos en los puntos de calor).</w:t>
      </w:r>
    </w:p>
    <w:p w:rsidR="00000000" w:rsidDel="00000000" w:rsidP="00000000" w:rsidRDefault="00000000" w:rsidRPr="00000000" w14:paraId="00000283">
      <w:pPr>
        <w:jc w:val="both"/>
        <w:rPr>
          <w:rFonts w:ascii="Arial" w:cs="Arial" w:eastAsia="Arial" w:hAnsi="Arial"/>
          <w:sz w:val="20"/>
          <w:szCs w:val="20"/>
        </w:rPr>
      </w:pPr>
      <w:bookmarkStart w:colFirst="0" w:colLast="0" w:name="_heading=h.41mghml" w:id="39"/>
      <w:bookmarkEnd w:id="39"/>
      <w:r w:rsidDel="00000000" w:rsidR="00000000" w:rsidRPr="00000000">
        <w:rPr>
          <w:rFonts w:ascii="Arial" w:cs="Arial" w:eastAsia="Arial" w:hAnsi="Arial"/>
          <w:sz w:val="20"/>
          <w:szCs w:val="20"/>
          <w:rtl w:val="0"/>
        </w:rPr>
        <w:t xml:space="preserve">Una vez que se genera la base de datos con cada punto de calor observado, se extrajeron los valores de biomasa y FRPn, donde los valores máximos normalizados de FRPn se obtienen del sensor </w:t>
      </w:r>
      <w:r w:rsidDel="00000000" w:rsidR="00000000" w:rsidRPr="00000000">
        <w:rPr>
          <w:rFonts w:ascii="Arial" w:cs="Arial" w:eastAsia="Arial" w:hAnsi="Arial"/>
          <w:i w:val="1"/>
          <w:sz w:val="20"/>
          <w:szCs w:val="20"/>
          <w:rtl w:val="0"/>
        </w:rPr>
        <w:t xml:space="preserve">Moderate Resolution Imaging Spectroradiometer</w:t>
      </w:r>
      <w:r w:rsidDel="00000000" w:rsidR="00000000" w:rsidRPr="00000000">
        <w:rPr>
          <w:rFonts w:ascii="Arial" w:cs="Arial" w:eastAsia="Arial" w:hAnsi="Arial"/>
          <w:sz w:val="20"/>
          <w:szCs w:val="20"/>
          <w:rtl w:val="0"/>
        </w:rPr>
        <w:t xml:space="preserve"> (MODIS) entre 2011 y 2020. Posteriormente, se le aplica una técnica de interpolación “</w:t>
      </w:r>
      <w:r w:rsidDel="00000000" w:rsidR="00000000" w:rsidRPr="00000000">
        <w:rPr>
          <w:rFonts w:ascii="Arial" w:cs="Arial" w:eastAsia="Arial" w:hAnsi="Arial"/>
          <w:i w:val="1"/>
          <w:sz w:val="20"/>
          <w:szCs w:val="20"/>
          <w:rtl w:val="0"/>
        </w:rPr>
        <w:t xml:space="preserve">kernel density” </w:t>
      </w:r>
      <w:r w:rsidDel="00000000" w:rsidR="00000000" w:rsidRPr="00000000">
        <w:rPr>
          <w:rFonts w:ascii="Arial" w:cs="Arial" w:eastAsia="Arial" w:hAnsi="Arial"/>
          <w:sz w:val="20"/>
          <w:szCs w:val="20"/>
          <w:rtl w:val="0"/>
        </w:rPr>
        <w:t xml:space="preserve">a 5 km cada píxel de 1 km (Tinoco, 2023). La capa de intensidad se genera mediante modelos de predicción no lineales, modelos aditivos generalizados (por sus siglas en inglés GAM), con la finalidad de sumar la contribución de cada variable independiente (tipos de combustibles forestales propuestos por Jardel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(2018) y regiones ecológicas propuestas en Monjarás-Vega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(2020). De esta forma se obtiene una predicción de los datos máximos de FRPn en función de los distintos niveles de biomasa y tipos de combustible en México. Para mayor información, pueden consultar el documento de investigación generado por Tinoco-Orozco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(2025).</w:t>
      </w:r>
    </w:p>
    <w:p w:rsidR="00000000" w:rsidDel="00000000" w:rsidP="00000000" w:rsidRDefault="00000000" w:rsidRPr="00000000" w14:paraId="00000284">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Esta capa nos indica el potencial de la intensidad del fuego, para identificar espacialmente los lugares donde se espera comportamiento extremo, incendios de copa, fundamental para la distribución adecuada de los recursos en incendios activos. En el tema de prevención, precisamente en estos lugares de alta intensidad, nos ubica los lugares donde pueden priorizarse las actividades de planeación de acuerdo al tipo de ecosistema (manejo de combustibles considerando el uso del fuego donde lo convenga).</w:t>
      </w:r>
    </w:p>
    <w:p w:rsidR="00000000" w:rsidDel="00000000" w:rsidP="00000000" w:rsidRDefault="00000000" w:rsidRPr="00000000" w14:paraId="00000285">
      <w:pPr>
        <w:pStyle w:val="Heading2"/>
        <w:rPr>
          <w:color w:val="135b42"/>
          <w:sz w:val="22"/>
          <w:szCs w:val="22"/>
        </w:rPr>
      </w:pPr>
      <w:bookmarkStart w:colFirst="0" w:colLast="0" w:name="_heading=h.scg0cfwsbbq3" w:id="40"/>
      <w:bookmarkEnd w:id="40"/>
      <w:r w:rsidDel="00000000" w:rsidR="00000000" w:rsidRPr="00000000">
        <w:rPr>
          <w:color w:val="135b42"/>
          <w:sz w:val="22"/>
          <w:szCs w:val="22"/>
          <w:rtl w:val="0"/>
        </w:rPr>
        <w:t xml:space="preserve">Mapa del componente peligro de incendios forestales</w:t>
      </w:r>
    </w:p>
    <w:p w:rsidR="00000000" w:rsidDel="00000000" w:rsidP="00000000" w:rsidRDefault="00000000" w:rsidRPr="00000000" w14:paraId="00000286">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peligro (intensidad) se reclasifica en ocho clases, nos indica dónde serán los incendios más intensos de acuerdo con una región, tipo de combustible y biomasa esperada. Estas categorías se presentan en el Cuadro 9.</w:t>
      </w:r>
    </w:p>
    <w:p w:rsidR="00000000" w:rsidDel="00000000" w:rsidP="00000000" w:rsidRDefault="00000000" w:rsidRPr="00000000" w14:paraId="00000287">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88">
      <w:pPr>
        <w:jc w:val="both"/>
        <w:rPr>
          <w:rFonts w:ascii="Arial" w:cs="Arial" w:eastAsia="Arial" w:hAnsi="Arial"/>
          <w:sz w:val="20"/>
          <w:szCs w:val="20"/>
        </w:rPr>
      </w:pPr>
      <w:r w:rsidDel="00000000" w:rsidR="00000000" w:rsidRPr="00000000">
        <w:rPr>
          <w:rtl w:val="0"/>
        </w:rPr>
      </w:r>
    </w:p>
    <w:tbl>
      <w:tblPr>
        <w:tblStyle w:val="Table9"/>
        <w:tblW w:w="8838.0" w:type="dxa"/>
        <w:jc w:val="left"/>
        <w:tblLayout w:type="fixed"/>
        <w:tblLook w:val="0400"/>
      </w:tblPr>
      <w:tblGrid>
        <w:gridCol w:w="1942"/>
        <w:gridCol w:w="1206"/>
        <w:gridCol w:w="2418"/>
        <w:gridCol w:w="2611"/>
        <w:gridCol w:w="661"/>
        <w:tblGridChange w:id="0">
          <w:tblGrid>
            <w:gridCol w:w="1942"/>
            <w:gridCol w:w="1206"/>
            <w:gridCol w:w="2418"/>
            <w:gridCol w:w="2611"/>
            <w:gridCol w:w="661"/>
          </w:tblGrid>
        </w:tblGridChange>
      </w:tblGrid>
      <w:tr>
        <w:trPr>
          <w:cantSplit w:val="0"/>
          <w:trHeight w:val="128" w:hRule="atLeast"/>
          <w:tblHeader w:val="0"/>
        </w:trPr>
        <w:tc>
          <w:tcPr>
            <w:gridSpan w:val="5"/>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89">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00000"/>
                <w:sz w:val="18"/>
                <w:szCs w:val="18"/>
              </w:rPr>
            </w:pPr>
            <w:bookmarkStart w:colFirst="0" w:colLast="0" w:name="_heading=h.vx1227" w:id="41"/>
            <w:bookmarkEnd w:id="41"/>
            <w:r w:rsidDel="00000000" w:rsidR="00000000" w:rsidRPr="00000000">
              <w:rPr>
                <w:rFonts w:ascii="Arial" w:cs="Arial" w:eastAsia="Arial" w:hAnsi="Arial"/>
                <w:i w:val="1"/>
                <w:color w:val="0e2841"/>
                <w:sz w:val="20"/>
                <w:szCs w:val="20"/>
                <w:rtl w:val="0"/>
              </w:rPr>
              <w:t xml:space="preserve"> Cuadro 9. Categorías y valor para el mapa de Peligro de incendios forestales</w:t>
            </w:r>
            <w:r w:rsidDel="00000000" w:rsidR="00000000" w:rsidRPr="00000000">
              <w:rPr>
                <w:rtl w:val="0"/>
              </w:rPr>
            </w:r>
          </w:p>
        </w:tc>
      </w:tr>
      <w:tr>
        <w:trPr>
          <w:cantSplit w:val="0"/>
          <w:trHeight w:val="28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8E">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sz w:val="18"/>
                <w:szCs w:val="18"/>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8F">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VALOR</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90">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91">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92">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93">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 aplica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94">
            <w:pPr>
              <w:spacing w:after="0" w:line="240" w:lineRule="auto"/>
              <w:jc w:val="center"/>
              <w:rPr>
                <w:rFonts w:ascii="Arial" w:cs="Arial" w:eastAsia="Arial" w:hAnsi="Arial"/>
                <w:color w:val="000000"/>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9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9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67,021,509</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9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34.2</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98">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Muy baja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9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20"/>
                <w:szCs w:val="20"/>
                <w:rtl w:val="0"/>
              </w:rPr>
              <w:t xml:space="preserve">1</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9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9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53,737,985</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9C">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27.4</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9D">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Baja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9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20"/>
                <w:szCs w:val="20"/>
                <w:rtl w:val="0"/>
              </w:rPr>
              <w:t xml:space="preserve">2</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9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A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8,568,102</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A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4.4</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A2">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Media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A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sz w:val="20"/>
                <w:szCs w:val="20"/>
                <w:rtl w:val="0"/>
              </w:rPr>
              <w:t xml:space="preserve">2 a 5</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A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A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13,589,204</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A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6.9</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A7">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Media -alta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A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sz w:val="20"/>
                <w:szCs w:val="20"/>
                <w:rtl w:val="0"/>
              </w:rPr>
              <w:t xml:space="preserve">5 a 10</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A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A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12,491,947</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A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6.4</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A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Ala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A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sz w:val="20"/>
                <w:szCs w:val="20"/>
                <w:rtl w:val="0"/>
              </w:rPr>
              <w:t xml:space="preserve">10 a 25</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A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A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10,710,492</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B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5.5</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B1">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Muy alta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B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sz w:val="20"/>
                <w:szCs w:val="20"/>
                <w:rtl w:val="0"/>
              </w:rPr>
              <w:t xml:space="preserve">25 a 75</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B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B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18,865,419</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B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9.6</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B6">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Extrema</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B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sz w:val="20"/>
                <w:szCs w:val="20"/>
                <w:rtl w:val="0"/>
              </w:rPr>
              <w:t xml:space="preserve">75 a 100</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B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7</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B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11,244,550</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B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5.7</w:t>
            </w:r>
          </w:p>
        </w:tc>
      </w:tr>
      <w:tr>
        <w:trPr>
          <w:cantSplit w:val="0"/>
          <w:trHeight w:val="285" w:hRule="atLeast"/>
          <w:tblHeader w:val="0"/>
        </w:trPr>
        <w:tc>
          <w:tcPr>
            <w:gridSpan w:val="3"/>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BB">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BE">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BF">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bl>
    <w:p w:rsidR="00000000" w:rsidDel="00000000" w:rsidP="00000000" w:rsidRDefault="00000000" w:rsidRPr="00000000" w14:paraId="000002C0">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C1">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0464" cy="3967480"/>
            <wp:effectExtent b="0" l="0" r="0" t="0"/>
            <wp:docPr id="2101763745" name="image26.png"/>
            <a:graphic>
              <a:graphicData uri="http://schemas.openxmlformats.org/drawingml/2006/picture">
                <pic:pic>
                  <pic:nvPicPr>
                    <pic:cNvPr id="0" name="image26.png"/>
                    <pic:cNvPicPr preferRelativeResize="0"/>
                  </pic:nvPicPr>
                  <pic:blipFill>
                    <a:blip r:embed="rId25"/>
                    <a:srcRect b="0" l="0" r="0" t="0"/>
                    <a:stretch>
                      <a:fillRect/>
                    </a:stretch>
                  </pic:blipFill>
                  <pic:spPr>
                    <a:xfrm>
                      <a:off x="0" y="0"/>
                      <a:ext cx="5610464" cy="3967480"/>
                    </a:xfrm>
                    <a:prstGeom prst="rect"/>
                    <a:ln/>
                  </pic:spPr>
                </pic:pic>
              </a:graphicData>
            </a:graphic>
          </wp:inline>
        </w:drawing>
      </w:r>
      <w:r w:rsidDel="00000000" w:rsidR="00000000" w:rsidRPr="00000000">
        <w:rPr>
          <w:rtl w:val="0"/>
        </w:rPr>
      </w:r>
    </w:p>
    <w:p w:rsidR="00000000" w:rsidDel="00000000" w:rsidP="00000000" w:rsidRDefault="00000000" w:rsidRPr="00000000" w14:paraId="000002C2">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bookmarkStart w:colFirst="0" w:colLast="0" w:name="_heading=h.3fwokq0" w:id="42"/>
      <w:bookmarkEnd w:id="42"/>
      <w:r w:rsidDel="00000000" w:rsidR="00000000" w:rsidRPr="00000000">
        <w:rPr>
          <w:rFonts w:ascii="Arial" w:cs="Arial" w:eastAsia="Arial" w:hAnsi="Arial"/>
          <w:i w:val="1"/>
          <w:color w:val="0e2841"/>
          <w:sz w:val="20"/>
          <w:szCs w:val="20"/>
          <w:rtl w:val="0"/>
        </w:rPr>
        <w:t xml:space="preserve">Figura 10. Componente 2: Peligro de incendios forestales (intensidad calórica esperada) el mapa de áreas prioritarias.</w:t>
      </w:r>
    </w:p>
    <w:p w:rsidR="00000000" w:rsidDel="00000000" w:rsidP="00000000" w:rsidRDefault="00000000" w:rsidRPr="00000000" w14:paraId="000002C3">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C4">
      <w:pPr>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2C5">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En la Figura 10, los estados con mayor proporción de superficie en niveles muy alto y extremo son Yucatán, Quintana Roo, Colima, Campeche y Michoacán, con porcentajes del 42, 35, 33, 31 y 30 % de la superficie respectiva para cada estado (Figura 11). En los tipos de combustible en dichos estados, resaltan los bosques secos de la región tropical en el sureste del país (BTS_SE2), los cuales presentaron intensidades más altas con valores de FRPn &gt; 1,000 MW/km</w:t>
      </w:r>
      <w:r w:rsidDel="00000000" w:rsidR="00000000" w:rsidRPr="00000000">
        <w:rPr>
          <w:rFonts w:ascii="Arial" w:cs="Arial" w:eastAsia="Arial" w:hAnsi="Arial"/>
          <w:sz w:val="20"/>
          <w:szCs w:val="20"/>
          <w:vertAlign w:val="superscript"/>
          <w:rtl w:val="0"/>
        </w:rPr>
        <w:t xml:space="preserve">2</w:t>
      </w:r>
      <w:r w:rsidDel="00000000" w:rsidR="00000000" w:rsidRPr="00000000">
        <w:rPr>
          <w:rFonts w:ascii="Arial" w:cs="Arial" w:eastAsia="Arial" w:hAnsi="Arial"/>
          <w:sz w:val="20"/>
          <w:szCs w:val="20"/>
          <w:rtl w:val="0"/>
        </w:rPr>
        <w:t xml:space="preserve">) con una densidad de carbono de 30 a 40 ton/ha. En los bosques tropicales húmedos en esta misma región, los valores de FRPn máximos fueron alrededor de los 500 MW/km</w:t>
      </w:r>
      <w:r w:rsidDel="00000000" w:rsidR="00000000" w:rsidRPr="00000000">
        <w:rPr>
          <w:rFonts w:ascii="Arial" w:cs="Arial" w:eastAsia="Arial" w:hAnsi="Arial"/>
          <w:sz w:val="20"/>
          <w:szCs w:val="20"/>
          <w:vertAlign w:val="superscript"/>
          <w:rtl w:val="0"/>
        </w:rPr>
        <w:t xml:space="preserve">2 </w:t>
      </w:r>
      <w:r w:rsidDel="00000000" w:rsidR="00000000" w:rsidRPr="00000000">
        <w:rPr>
          <w:rFonts w:ascii="Arial" w:cs="Arial" w:eastAsia="Arial" w:hAnsi="Arial"/>
          <w:sz w:val="20"/>
          <w:szCs w:val="20"/>
          <w:rtl w:val="0"/>
        </w:rPr>
        <w:t xml:space="preserve">sobre una densidad similar al rango determinado en BTS_SE2. En las regiones ecológicas centro-occidentales (C2, OC2), se predijo mayor intensidad de incendios para niveles intermedios de biomasa, en un rango de 15 a 35 ton/ha. A medida que aumenta la cantidad de biomasa, los valores de intensidad se reducen considerablemente.</w:t>
      </w:r>
    </w:p>
    <w:p w:rsidR="00000000" w:rsidDel="00000000" w:rsidP="00000000" w:rsidRDefault="00000000" w:rsidRPr="00000000" w14:paraId="000002C6">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Pr>
        <w:drawing>
          <wp:inline distB="0" distT="0" distL="0" distR="0">
            <wp:extent cx="5607179" cy="5612445"/>
            <wp:effectExtent b="0" l="0" r="0" t="0"/>
            <wp:docPr id="2101763748" name="image33.png"/>
            <a:graphic>
              <a:graphicData uri="http://schemas.openxmlformats.org/drawingml/2006/picture">
                <pic:pic>
                  <pic:nvPicPr>
                    <pic:cNvPr id="0" name="image33.png"/>
                    <pic:cNvPicPr preferRelativeResize="0"/>
                  </pic:nvPicPr>
                  <pic:blipFill>
                    <a:blip r:embed="rId26"/>
                    <a:srcRect b="0" l="0" r="0" t="0"/>
                    <a:stretch>
                      <a:fillRect/>
                    </a:stretch>
                  </pic:blipFill>
                  <pic:spPr>
                    <a:xfrm>
                      <a:off x="0" y="0"/>
                      <a:ext cx="5607179" cy="5612445"/>
                    </a:xfrm>
                    <a:prstGeom prst="rect"/>
                    <a:ln/>
                  </pic:spPr>
                </pic:pic>
              </a:graphicData>
            </a:graphic>
          </wp:inline>
        </w:drawing>
      </w:r>
      <w:r w:rsidDel="00000000" w:rsidR="00000000" w:rsidRPr="00000000">
        <w:rPr>
          <w:rtl w:val="0"/>
        </w:rPr>
      </w:r>
    </w:p>
    <w:p w:rsidR="00000000" w:rsidDel="00000000" w:rsidP="00000000" w:rsidRDefault="00000000" w:rsidRPr="00000000" w14:paraId="000002C7">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b w:val="1"/>
          <w:i w:val="1"/>
          <w:color w:val="0e2841"/>
          <w:sz w:val="14"/>
          <w:szCs w:val="14"/>
        </w:rPr>
      </w:pPr>
      <w:bookmarkStart w:colFirst="0" w:colLast="0" w:name="_heading=h.1v1yuxt" w:id="43"/>
      <w:bookmarkEnd w:id="43"/>
      <w:r w:rsidDel="00000000" w:rsidR="00000000" w:rsidRPr="00000000">
        <w:rPr>
          <w:rFonts w:ascii="Arial" w:cs="Arial" w:eastAsia="Arial" w:hAnsi="Arial"/>
          <w:i w:val="1"/>
          <w:color w:val="0e2841"/>
          <w:sz w:val="20"/>
          <w:szCs w:val="20"/>
          <w:rtl w:val="0"/>
        </w:rPr>
        <w:t xml:space="preserve">Figura 11. Distribución proporcional por categoría del componente de peligro de acuerdo con la superficie total de cada estado.</w:t>
      </w:r>
      <w:r w:rsidDel="00000000" w:rsidR="00000000" w:rsidRPr="00000000">
        <w:rPr>
          <w:rtl w:val="0"/>
        </w:rPr>
      </w:r>
    </w:p>
    <w:p w:rsidR="00000000" w:rsidDel="00000000" w:rsidP="00000000" w:rsidRDefault="00000000" w:rsidRPr="00000000" w14:paraId="000002C8">
      <w:pPr>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2C9">
      <w:pPr>
        <w:pStyle w:val="Heading1"/>
        <w:rPr>
          <w:b w:val="1"/>
          <w:color w:val="135b42"/>
          <w:sz w:val="32"/>
          <w:szCs w:val="32"/>
        </w:rPr>
      </w:pPr>
      <w:bookmarkStart w:colFirst="0" w:colLast="0" w:name="_heading=h.dcwg8pmt4wui" w:id="44"/>
      <w:bookmarkEnd w:id="44"/>
      <w:r w:rsidDel="00000000" w:rsidR="00000000" w:rsidRPr="00000000">
        <w:rPr>
          <w:b w:val="1"/>
          <w:color w:val="135b42"/>
          <w:sz w:val="32"/>
          <w:szCs w:val="32"/>
          <w:rtl w:val="0"/>
        </w:rPr>
        <w:t xml:space="preserve">Componente de valor</w:t>
      </w:r>
    </w:p>
    <w:p w:rsidR="00000000" w:rsidDel="00000000" w:rsidP="00000000" w:rsidRDefault="00000000" w:rsidRPr="00000000" w14:paraId="000002CA">
      <w:pPr>
        <w:jc w:val="both"/>
        <w:rPr>
          <w:rFonts w:ascii="Arial" w:cs="Arial" w:eastAsia="Arial" w:hAnsi="Arial"/>
          <w:sz w:val="20"/>
          <w:szCs w:val="20"/>
        </w:rPr>
      </w:pPr>
      <w:bookmarkStart w:colFirst="0" w:colLast="0" w:name="_heading=h.2u6wntf" w:id="45"/>
      <w:bookmarkEnd w:id="45"/>
      <w:r w:rsidDel="00000000" w:rsidR="00000000" w:rsidRPr="00000000">
        <w:rPr>
          <w:rFonts w:ascii="Arial" w:cs="Arial" w:eastAsia="Arial" w:hAnsi="Arial"/>
          <w:sz w:val="20"/>
          <w:szCs w:val="20"/>
          <w:rtl w:val="0"/>
        </w:rPr>
        <w:t xml:space="preserve">Se enfoca en el análisis del daño potencial que podrían llegar a causar los incendios forestales, considerando tres elementos: ecológico, sociocultural y económico. Cada uno de estos aspectos incluye determinadas variables, las cuales se definen enseguida. </w:t>
      </w:r>
    </w:p>
    <w:p w:rsidR="00000000" w:rsidDel="00000000" w:rsidP="00000000" w:rsidRDefault="00000000" w:rsidRPr="00000000" w14:paraId="000002CB">
      <w:pPr>
        <w:pStyle w:val="Heading2"/>
        <w:rPr>
          <w:b w:val="1"/>
          <w:color w:val="135b42"/>
          <w:sz w:val="22"/>
          <w:szCs w:val="22"/>
        </w:rPr>
      </w:pPr>
      <w:bookmarkStart w:colFirst="0" w:colLast="0" w:name="_heading=h.2gb1d8jf0y95" w:id="46"/>
      <w:bookmarkEnd w:id="46"/>
      <w:r w:rsidDel="00000000" w:rsidR="00000000" w:rsidRPr="00000000">
        <w:rPr>
          <w:b w:val="1"/>
          <w:color w:val="135b42"/>
          <w:sz w:val="22"/>
          <w:szCs w:val="22"/>
          <w:rtl w:val="0"/>
        </w:rPr>
        <w:t xml:space="preserve">Criterio valor-ecológico</w:t>
      </w:r>
    </w:p>
    <w:p w:rsidR="00000000" w:rsidDel="00000000" w:rsidP="00000000" w:rsidRDefault="00000000" w:rsidRPr="00000000" w14:paraId="000002CC">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 centra en los elementos que permiten a un área mantenerse en óptimas condiciones; principalmente se brinda importancia a los ambientes naturales preservados, ecosistemas frágiles, especies en riesgo, así como protección de la diversidad biológica y su respuesta al fuego.</w:t>
      </w:r>
    </w:p>
    <w:p w:rsidR="00000000" w:rsidDel="00000000" w:rsidP="00000000" w:rsidRDefault="00000000" w:rsidRPr="00000000" w14:paraId="000002CD">
      <w:pPr>
        <w:pStyle w:val="Heading3"/>
        <w:rPr>
          <w:rFonts w:ascii="Arial" w:cs="Arial" w:eastAsia="Arial" w:hAnsi="Arial"/>
          <w:color w:val="135b42"/>
          <w:sz w:val="22"/>
          <w:szCs w:val="22"/>
        </w:rPr>
      </w:pPr>
      <w:bookmarkStart w:colFirst="0" w:colLast="0" w:name="_heading=h.ihtmcpve77zj" w:id="47"/>
      <w:bookmarkEnd w:id="47"/>
      <w:r w:rsidDel="00000000" w:rsidR="00000000" w:rsidRPr="00000000">
        <w:rPr>
          <w:rFonts w:ascii="Arial" w:cs="Arial" w:eastAsia="Arial" w:hAnsi="Arial"/>
          <w:color w:val="135b42"/>
          <w:sz w:val="22"/>
          <w:szCs w:val="22"/>
          <w:rtl w:val="0"/>
        </w:rPr>
        <w:t xml:space="preserve">Áreas Naturales Protegidas (ANP)</w:t>
      </w:r>
    </w:p>
    <w:p w:rsidR="00000000" w:rsidDel="00000000" w:rsidP="00000000" w:rsidRDefault="00000000" w:rsidRPr="00000000" w14:paraId="000002CE">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Zonas designadas para conservar los ecosistemas y la biodiversidad, permitiendo su adaptación y protección frente al cambio climático. Estas áreas abarcan territorios nacionales o bajo soberanía y jurisdicción nacional, donde los ambientes originales están poco alterados por humanos o necesitan ser preservados y restaurados. Los objetivos principales de las ANP incluyen: la preservación de ambientes naturales y ecosistemas frágiles, la protección de la diversidad genética y especies en riesgo, el apoyo a la investigación científica, la generación de conocimiento para la sustentabilidad, y la protección de áreas relevantes para la recreación, cultura e identidad, incluyendo las zonas arqueológicas cercanas. </w:t>
      </w:r>
    </w:p>
    <w:p w:rsidR="00000000" w:rsidDel="00000000" w:rsidP="00000000" w:rsidRDefault="00000000" w:rsidRPr="00000000" w14:paraId="000002CF">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Las categorías</w:t>
      </w:r>
      <w:r w:rsidDel="00000000" w:rsidR="00000000" w:rsidRPr="00000000">
        <w:rPr>
          <w:rFonts w:ascii="Arial" w:cs="Arial" w:eastAsia="Arial" w:hAnsi="Arial"/>
          <w:sz w:val="20"/>
          <w:szCs w:val="20"/>
          <w:vertAlign w:val="superscript"/>
        </w:rPr>
        <w:footnoteReference w:customMarkFollows="0" w:id="0"/>
      </w:r>
      <w:r w:rsidDel="00000000" w:rsidR="00000000" w:rsidRPr="00000000">
        <w:rPr>
          <w:rFonts w:ascii="Arial" w:cs="Arial" w:eastAsia="Arial" w:hAnsi="Arial"/>
          <w:sz w:val="20"/>
          <w:szCs w:val="20"/>
          <w:rtl w:val="0"/>
        </w:rPr>
        <w:t xml:space="preserve"> que se incluyen en esta capa son: Reservas de la Biosfera, Parques Nacionales, Áreas de Protección de Flora y Fauna, Áreas de Protección de Recursos Naturales, Monumentos Naturales, Santuarios y Áreas Destinadas Voluntariamente a la Conservación (CONANP, 2024). </w:t>
      </w:r>
    </w:p>
    <w:p w:rsidR="00000000" w:rsidDel="00000000" w:rsidP="00000000" w:rsidRDefault="00000000" w:rsidRPr="00000000" w14:paraId="000002D0">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ponderación para cualquiera de las ANP se asignó con base en el tipo de jurisdicción como se muestra en el Cuadro 10. </w:t>
      </w:r>
    </w:p>
    <w:tbl>
      <w:tblPr>
        <w:tblStyle w:val="Table10"/>
        <w:tblW w:w="8838.0" w:type="dxa"/>
        <w:jc w:val="left"/>
        <w:tblLayout w:type="fixed"/>
        <w:tblLook w:val="0400"/>
      </w:tblPr>
      <w:tblGrid>
        <w:gridCol w:w="2804"/>
        <w:gridCol w:w="2798"/>
        <w:gridCol w:w="2586"/>
        <w:gridCol w:w="650"/>
        <w:tblGridChange w:id="0">
          <w:tblGrid>
            <w:gridCol w:w="2804"/>
            <w:gridCol w:w="2798"/>
            <w:gridCol w:w="2586"/>
            <w:gridCol w:w="650"/>
          </w:tblGrid>
        </w:tblGridChange>
      </w:tblGrid>
      <w:tr>
        <w:trPr>
          <w:cantSplit w:val="0"/>
          <w:trHeight w:val="143" w:hRule="atLeast"/>
          <w:tblHeader w:val="0"/>
        </w:trPr>
        <w:tc>
          <w:tcPr>
            <w:gridSpan w:val="4"/>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D1">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16"/>
                <w:szCs w:val="16"/>
              </w:rPr>
            </w:pPr>
            <w:bookmarkStart w:colFirst="0" w:colLast="0" w:name="_heading=h.28h4qwu" w:id="48"/>
            <w:bookmarkEnd w:id="48"/>
            <w:r w:rsidDel="00000000" w:rsidR="00000000" w:rsidRPr="00000000">
              <w:rPr>
                <w:rFonts w:ascii="Arial" w:cs="Arial" w:eastAsia="Arial" w:hAnsi="Arial"/>
                <w:i w:val="1"/>
                <w:color w:val="0e2841"/>
                <w:sz w:val="20"/>
                <w:szCs w:val="20"/>
                <w:rtl w:val="0"/>
              </w:rPr>
              <w:t xml:space="preserve">Cuadro 10. Ponderación de acuerdo con su asignación de ANP.</w:t>
            </w:r>
            <w:r w:rsidDel="00000000" w:rsidR="00000000" w:rsidRPr="00000000">
              <w:rPr>
                <w:rtl w:val="0"/>
              </w:rPr>
            </w:r>
          </w:p>
        </w:tc>
      </w:tr>
      <w:tr>
        <w:trPr>
          <w:cantSplit w:val="0"/>
          <w:trHeight w:val="270"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D5">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sz w:val="18"/>
                <w:szCs w:val="18"/>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D6">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D7">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D8">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D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 aplica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D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DB">
            <w:pPr>
              <w:spacing w:after="0" w:line="240" w:lineRule="auto"/>
              <w:ind w:firstLine="220"/>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168,238,635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DC">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85.7</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D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Estatal y/o Municipal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D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DF">
            <w:pPr>
              <w:spacing w:after="0" w:line="240" w:lineRule="auto"/>
              <w:ind w:firstLine="220"/>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4,572,383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E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2.3</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E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Federal</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E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E3">
            <w:pPr>
              <w:spacing w:after="0" w:line="240" w:lineRule="auto"/>
              <w:ind w:firstLine="220"/>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23,418,190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E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11.9</w:t>
            </w:r>
          </w:p>
        </w:tc>
      </w:tr>
      <w:tr>
        <w:trPr>
          <w:cantSplit w:val="0"/>
          <w:trHeight w:val="270" w:hRule="atLeast"/>
          <w:tblHeader w:val="0"/>
        </w:trPr>
        <w:tc>
          <w:tcPr>
            <w:gridSpan w:val="2"/>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E5">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E7">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E8">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113" w:hRule="atLeast"/>
          <w:tblHeader w:val="0"/>
        </w:trPr>
        <w:tc>
          <w:tcPr>
            <w:gridSpan w:val="4"/>
            <w:tcBorders>
              <w:top w:color="000000" w:space="0" w:sz="0" w:val="nil"/>
              <w:left w:color="000000" w:space="0" w:sz="0" w:val="nil"/>
              <w:bottom w:color="000000" w:space="0" w:sz="0" w:val="nil"/>
              <w:right w:color="000000" w:space="0" w:sz="0" w:val="nil"/>
            </w:tcBorders>
            <w:shd w:fill="ffffff" w:val="clear"/>
            <w:vAlign w:val="center"/>
          </w:tcPr>
          <w:p w:rsidR="00000000" w:rsidDel="00000000" w:rsidP="00000000" w:rsidRDefault="00000000" w:rsidRPr="00000000" w14:paraId="000002E9">
            <w:pPr>
              <w:spacing w:after="0" w:line="240" w:lineRule="auto"/>
              <w:rPr>
                <w:rFonts w:ascii="Arial" w:cs="Arial" w:eastAsia="Arial" w:hAnsi="Arial"/>
                <w:color w:val="000000"/>
                <w:sz w:val="18"/>
                <w:szCs w:val="18"/>
              </w:rPr>
            </w:pPr>
            <w:r w:rsidDel="00000000" w:rsidR="00000000" w:rsidRPr="00000000">
              <w:rPr>
                <w:rtl w:val="0"/>
              </w:rPr>
            </w:r>
          </w:p>
        </w:tc>
      </w:tr>
    </w:tbl>
    <w:p w:rsidR="00000000" w:rsidDel="00000000" w:rsidP="00000000" w:rsidRDefault="00000000" w:rsidRPr="00000000" w14:paraId="000002ED">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EE">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2EF">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21737" cy="3975453"/>
            <wp:effectExtent b="0" l="0" r="0" t="0"/>
            <wp:docPr id="2101763749" name="image31.png"/>
            <a:graphic>
              <a:graphicData uri="http://schemas.openxmlformats.org/drawingml/2006/picture">
                <pic:pic>
                  <pic:nvPicPr>
                    <pic:cNvPr id="0" name="image31.png"/>
                    <pic:cNvPicPr preferRelativeResize="0"/>
                  </pic:nvPicPr>
                  <pic:blipFill>
                    <a:blip r:embed="rId27"/>
                    <a:srcRect b="0" l="0" r="0" t="0"/>
                    <a:stretch>
                      <a:fillRect/>
                    </a:stretch>
                  </pic:blipFill>
                  <pic:spPr>
                    <a:xfrm>
                      <a:off x="0" y="0"/>
                      <a:ext cx="5621737" cy="3975453"/>
                    </a:xfrm>
                    <a:prstGeom prst="rect"/>
                    <a:ln/>
                  </pic:spPr>
                </pic:pic>
              </a:graphicData>
            </a:graphic>
          </wp:inline>
        </w:drawing>
      </w:r>
      <w:r w:rsidDel="00000000" w:rsidR="00000000" w:rsidRPr="00000000">
        <w:rPr>
          <w:rtl w:val="0"/>
        </w:rPr>
      </w:r>
    </w:p>
    <w:p w:rsidR="00000000" w:rsidDel="00000000" w:rsidP="00000000" w:rsidRDefault="00000000" w:rsidRPr="00000000" w14:paraId="000002F0">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12. Variable 4: Áreas Naturales Protegidas, criterio ecológico del componente valor.</w:t>
      </w:r>
    </w:p>
    <w:p w:rsidR="00000000" w:rsidDel="00000000" w:rsidP="00000000" w:rsidRDefault="00000000" w:rsidRPr="00000000" w14:paraId="000002F1">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F2">
      <w:pPr>
        <w:pStyle w:val="Heading3"/>
        <w:rPr>
          <w:rFonts w:ascii="Arial" w:cs="Arial" w:eastAsia="Arial" w:hAnsi="Arial"/>
          <w:color w:val="135b42"/>
          <w:sz w:val="22"/>
          <w:szCs w:val="22"/>
        </w:rPr>
      </w:pPr>
      <w:bookmarkStart w:colFirst="0" w:colLast="0" w:name="_heading=h.94e48yfdubkj" w:id="49"/>
      <w:bookmarkEnd w:id="49"/>
      <w:r w:rsidDel="00000000" w:rsidR="00000000" w:rsidRPr="00000000">
        <w:rPr>
          <w:rFonts w:ascii="Arial" w:cs="Arial" w:eastAsia="Arial" w:hAnsi="Arial"/>
          <w:color w:val="135b42"/>
          <w:sz w:val="22"/>
          <w:szCs w:val="22"/>
          <w:rtl w:val="0"/>
        </w:rPr>
        <w:t xml:space="preserve">Áreas de Importancia para la Conservación de las Aves (AICAs)</w:t>
      </w:r>
    </w:p>
    <w:p w:rsidR="00000000" w:rsidDel="00000000" w:rsidP="00000000" w:rsidRDefault="00000000" w:rsidRPr="00000000" w14:paraId="000002F3">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Fue un programa iniciado por la Sección Mexicana del Consejo Internacional para la preservación de las aves (CIPAMEX) y BirdLife International, con el apoyo inicial de la Comisión para la Cooperación Ambiental de Norteamérica (CCA). </w:t>
      </w:r>
    </w:p>
    <w:p w:rsidR="00000000" w:rsidDel="00000000" w:rsidP="00000000" w:rsidRDefault="00000000" w:rsidRPr="00000000" w14:paraId="000002F4">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Su objetivo principal es determinar áreas clave para la toma de decisiones en conservación, estudio avícola, fomento del turismo ecológico, y educación ambiental, además de promover la cooperación entre ornitólogos y aficionados a las aves. Resultaron un total de 255 AICA distribuidas en México (CONABIO, 2015). En el Cuadro 11 se muestra la ponderación asignada a esa categoría. </w:t>
      </w:r>
    </w:p>
    <w:tbl>
      <w:tblPr>
        <w:tblStyle w:val="Table11"/>
        <w:tblW w:w="8838.0" w:type="dxa"/>
        <w:jc w:val="left"/>
        <w:tblLayout w:type="fixed"/>
        <w:tblLook w:val="0400"/>
      </w:tblPr>
      <w:tblGrid>
        <w:gridCol w:w="2199"/>
        <w:gridCol w:w="2733"/>
        <w:gridCol w:w="2950"/>
        <w:gridCol w:w="956"/>
        <w:tblGridChange w:id="0">
          <w:tblGrid>
            <w:gridCol w:w="2199"/>
            <w:gridCol w:w="2733"/>
            <w:gridCol w:w="2950"/>
            <w:gridCol w:w="956"/>
          </w:tblGrid>
        </w:tblGridChange>
      </w:tblGrid>
      <w:tr>
        <w:trPr>
          <w:cantSplit w:val="0"/>
          <w:trHeight w:val="315" w:hRule="atLeast"/>
          <w:tblHeader w:val="0"/>
        </w:trPr>
        <w:tc>
          <w:tcPr>
            <w:gridSpan w:val="4"/>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F5">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37m2jsg" w:id="50"/>
            <w:bookmarkEnd w:id="50"/>
            <w:r w:rsidDel="00000000" w:rsidR="00000000" w:rsidRPr="00000000">
              <w:rPr>
                <w:rFonts w:ascii="Arial" w:cs="Arial" w:eastAsia="Arial" w:hAnsi="Arial"/>
                <w:i w:val="1"/>
                <w:color w:val="0e2841"/>
                <w:sz w:val="20"/>
                <w:szCs w:val="20"/>
                <w:rtl w:val="0"/>
              </w:rPr>
              <w:t xml:space="preserve"> Cuadro 11. Ponderación de acuerdo con su asignación como AICA. </w:t>
            </w:r>
          </w:p>
        </w:tc>
      </w:tr>
      <w:tr>
        <w:trPr>
          <w:cantSplit w:val="0"/>
          <w:trHeight w:val="31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F9">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sz w:val="18"/>
                <w:szCs w:val="18"/>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FA">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FB">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FC">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F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 aplica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F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FF">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166,530,296</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0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84.9</w:t>
            </w:r>
          </w:p>
        </w:tc>
      </w:tr>
      <w:tr>
        <w:trPr>
          <w:cantSplit w:val="0"/>
          <w:trHeight w:val="31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0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AICA</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0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03">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29,698,912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0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15.1</w:t>
            </w:r>
          </w:p>
        </w:tc>
      </w:tr>
      <w:tr>
        <w:trPr>
          <w:cantSplit w:val="0"/>
          <w:trHeight w:val="315" w:hRule="atLeast"/>
          <w:tblHeader w:val="0"/>
        </w:trPr>
        <w:tc>
          <w:tcPr>
            <w:gridSpan w:val="2"/>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05">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07">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08">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bl>
    <w:p w:rsidR="00000000" w:rsidDel="00000000" w:rsidP="00000000" w:rsidRDefault="00000000" w:rsidRPr="00000000" w14:paraId="00000309">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0A">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0464" cy="3967479"/>
            <wp:effectExtent b="0" l="0" r="0" t="0"/>
            <wp:docPr id="2101763750" name="image28.png"/>
            <a:graphic>
              <a:graphicData uri="http://schemas.openxmlformats.org/drawingml/2006/picture">
                <pic:pic>
                  <pic:nvPicPr>
                    <pic:cNvPr id="0" name="image28.png"/>
                    <pic:cNvPicPr preferRelativeResize="0"/>
                  </pic:nvPicPr>
                  <pic:blipFill>
                    <a:blip r:embed="rId28"/>
                    <a:srcRect b="0" l="0" r="0" t="0"/>
                    <a:stretch>
                      <a:fillRect/>
                    </a:stretch>
                  </pic:blipFill>
                  <pic:spPr>
                    <a:xfrm>
                      <a:off x="0" y="0"/>
                      <a:ext cx="5610464" cy="3967479"/>
                    </a:xfrm>
                    <a:prstGeom prst="rect"/>
                    <a:ln/>
                  </pic:spPr>
                </pic:pic>
              </a:graphicData>
            </a:graphic>
          </wp:inline>
        </w:drawing>
      </w:r>
      <w:r w:rsidDel="00000000" w:rsidR="00000000" w:rsidRPr="00000000">
        <w:rPr>
          <w:rtl w:val="0"/>
        </w:rPr>
      </w:r>
    </w:p>
    <w:p w:rsidR="00000000" w:rsidDel="00000000" w:rsidP="00000000" w:rsidRDefault="00000000" w:rsidRPr="00000000" w14:paraId="0000030B">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13. Variable 5: Áreas de Importancia para la Conservación de las Aves, criterio ecológico del componente valor.</w:t>
      </w:r>
    </w:p>
    <w:p w:rsidR="00000000" w:rsidDel="00000000" w:rsidP="00000000" w:rsidRDefault="00000000" w:rsidRPr="00000000" w14:paraId="0000030C">
      <w:pPr>
        <w:pStyle w:val="Heading3"/>
        <w:rPr>
          <w:rFonts w:ascii="Arial" w:cs="Arial" w:eastAsia="Arial" w:hAnsi="Arial"/>
          <w:color w:val="135b42"/>
          <w:sz w:val="22"/>
          <w:szCs w:val="22"/>
        </w:rPr>
      </w:pPr>
      <w:bookmarkStart w:colFirst="0" w:colLast="0" w:name="_heading=h.36n6guey6u9" w:id="51"/>
      <w:bookmarkEnd w:id="51"/>
      <w:r w:rsidDel="00000000" w:rsidR="00000000" w:rsidRPr="00000000">
        <w:rPr>
          <w:rFonts w:ascii="Arial" w:cs="Arial" w:eastAsia="Arial" w:hAnsi="Arial"/>
          <w:color w:val="135b42"/>
          <w:sz w:val="22"/>
          <w:szCs w:val="22"/>
          <w:rtl w:val="0"/>
        </w:rPr>
        <w:t xml:space="preserve">Áreas de humedales (RAMSAR)</w:t>
      </w:r>
    </w:p>
    <w:p w:rsidR="00000000" w:rsidDel="00000000" w:rsidP="00000000" w:rsidRDefault="00000000" w:rsidRPr="00000000" w14:paraId="0000030D">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 un tratado internacional firmado en la ciudad de Ramsar, Irán en 1971. Éste se centra en la conservación y uso sostenible de los humedales a nivel internacional. </w:t>
      </w:r>
    </w:p>
    <w:p w:rsidR="00000000" w:rsidDel="00000000" w:rsidP="00000000" w:rsidRDefault="00000000" w:rsidRPr="00000000" w14:paraId="0000030E">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En México se han definido 142 sitios RAMSAR administrados a CONANP (2015), los cuales son cunas de biodiversidad caracterizados por contener suelo hidromórfico (saturado en agua de manera parcial o permanente) y poseen vegetación acuática. Incluyen hábitats de agua dulce inundados, ya sean lagos, ríos o hasta pantanos; así mismo áreas costeras y marinas (estuarios, manglares y arrecifes). </w:t>
      </w:r>
    </w:p>
    <w:p w:rsidR="00000000" w:rsidDel="00000000" w:rsidP="00000000" w:rsidRDefault="00000000" w:rsidRPr="00000000" w14:paraId="0000030F">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Su importancia radica en los servicios ecosistémicos que proveen: recreación, materia prima, abastecimiento de agua, secuestro de carbono azul, entre otros (RAMSAR, 2018). En el Cuadro 12 se muestra la ponderación asignada a esa categoría. </w:t>
      </w:r>
    </w:p>
    <w:tbl>
      <w:tblPr>
        <w:tblStyle w:val="Table12"/>
        <w:tblW w:w="8838.0" w:type="dxa"/>
        <w:jc w:val="left"/>
        <w:tblLayout w:type="fixed"/>
        <w:tblLook w:val="0400"/>
      </w:tblPr>
      <w:tblGrid>
        <w:gridCol w:w="2070"/>
        <w:gridCol w:w="2572"/>
        <w:gridCol w:w="3116"/>
        <w:gridCol w:w="1080"/>
        <w:tblGridChange w:id="0">
          <w:tblGrid>
            <w:gridCol w:w="2070"/>
            <w:gridCol w:w="2572"/>
            <w:gridCol w:w="3116"/>
            <w:gridCol w:w="1080"/>
          </w:tblGrid>
        </w:tblGridChange>
      </w:tblGrid>
      <w:tr>
        <w:trPr>
          <w:cantSplit w:val="0"/>
          <w:trHeight w:val="315" w:hRule="atLeast"/>
          <w:tblHeader w:val="0"/>
        </w:trPr>
        <w:tc>
          <w:tcPr>
            <w:gridSpan w:val="4"/>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10">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46r0co2" w:id="52"/>
            <w:bookmarkEnd w:id="52"/>
            <w:r w:rsidDel="00000000" w:rsidR="00000000" w:rsidRPr="00000000">
              <w:rPr>
                <w:rFonts w:ascii="Arial" w:cs="Arial" w:eastAsia="Arial" w:hAnsi="Arial"/>
                <w:i w:val="1"/>
                <w:color w:val="0e2841"/>
                <w:sz w:val="20"/>
                <w:szCs w:val="20"/>
                <w:rtl w:val="0"/>
              </w:rPr>
              <w:t xml:space="preserve"> Cuadro 12. Ponderación de acuerdo con su asignación como humedal.</w:t>
            </w:r>
          </w:p>
        </w:tc>
      </w:tr>
      <w:tr>
        <w:trPr>
          <w:cantSplit w:val="0"/>
          <w:trHeight w:val="31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14">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CATEGORIA</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15">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16">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17">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1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 aplica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1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1A">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189,571,106</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1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96.6</w:t>
            </w:r>
          </w:p>
        </w:tc>
      </w:tr>
      <w:tr>
        <w:trPr>
          <w:cantSplit w:val="0"/>
          <w:trHeight w:val="31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1C">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RAMSAR</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1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1E">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6,658,102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1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3.4</w:t>
            </w:r>
          </w:p>
        </w:tc>
      </w:tr>
      <w:tr>
        <w:trPr>
          <w:cantSplit w:val="0"/>
          <w:trHeight w:val="315" w:hRule="atLeast"/>
          <w:tblHeader w:val="0"/>
        </w:trPr>
        <w:tc>
          <w:tcPr>
            <w:gridSpan w:val="2"/>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20">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22">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23">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ffffff" w:val="clear"/>
            <w:vAlign w:val="center"/>
          </w:tcPr>
          <w:p w:rsidR="00000000" w:rsidDel="00000000" w:rsidP="00000000" w:rsidRDefault="00000000" w:rsidRPr="00000000" w14:paraId="00000324">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 </w:t>
            </w:r>
          </w:p>
        </w:tc>
        <w:tc>
          <w:tcPr>
            <w:tcBorders>
              <w:top w:color="000000" w:space="0" w:sz="0" w:val="nil"/>
              <w:left w:color="000000" w:space="0" w:sz="0" w:val="nil"/>
              <w:bottom w:color="000000" w:space="0" w:sz="0" w:val="nil"/>
              <w:right w:color="000000" w:space="0" w:sz="0" w:val="nil"/>
            </w:tcBorders>
            <w:shd w:fill="ffffff" w:val="clear"/>
            <w:vAlign w:val="center"/>
          </w:tcPr>
          <w:p w:rsidR="00000000" w:rsidDel="00000000" w:rsidP="00000000" w:rsidRDefault="00000000" w:rsidRPr="00000000" w14:paraId="00000325">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 </w:t>
            </w:r>
          </w:p>
        </w:tc>
        <w:tc>
          <w:tcPr>
            <w:tcBorders>
              <w:top w:color="000000" w:space="0" w:sz="0" w:val="nil"/>
              <w:left w:color="000000" w:space="0" w:sz="0" w:val="nil"/>
              <w:bottom w:color="000000" w:space="0" w:sz="0" w:val="nil"/>
              <w:right w:color="000000" w:space="0" w:sz="0" w:val="nil"/>
            </w:tcBorders>
            <w:shd w:fill="ffffff" w:val="clear"/>
            <w:vAlign w:val="center"/>
          </w:tcPr>
          <w:p w:rsidR="00000000" w:rsidDel="00000000" w:rsidP="00000000" w:rsidRDefault="00000000" w:rsidRPr="00000000" w14:paraId="00000326">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 </w:t>
            </w:r>
          </w:p>
        </w:tc>
        <w:tc>
          <w:tcPr>
            <w:tcBorders>
              <w:top w:color="000000" w:space="0" w:sz="0" w:val="nil"/>
              <w:left w:color="000000" w:space="0" w:sz="0" w:val="nil"/>
              <w:bottom w:color="000000" w:space="0" w:sz="0" w:val="nil"/>
              <w:right w:color="000000" w:space="0" w:sz="0" w:val="nil"/>
            </w:tcBorders>
            <w:shd w:fill="ffffff" w:val="clear"/>
            <w:vAlign w:val="center"/>
          </w:tcPr>
          <w:p w:rsidR="00000000" w:rsidDel="00000000" w:rsidP="00000000" w:rsidRDefault="00000000" w:rsidRPr="00000000" w14:paraId="00000327">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 </w:t>
            </w:r>
          </w:p>
        </w:tc>
      </w:tr>
    </w:tbl>
    <w:p w:rsidR="00000000" w:rsidDel="00000000" w:rsidP="00000000" w:rsidRDefault="00000000" w:rsidRPr="00000000" w14:paraId="00000328">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29">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0463" cy="3967479"/>
            <wp:effectExtent b="0" l="0" r="0" t="0"/>
            <wp:docPr id="2101763751" name="image29.png"/>
            <a:graphic>
              <a:graphicData uri="http://schemas.openxmlformats.org/drawingml/2006/picture">
                <pic:pic>
                  <pic:nvPicPr>
                    <pic:cNvPr id="0" name="image29.png"/>
                    <pic:cNvPicPr preferRelativeResize="0"/>
                  </pic:nvPicPr>
                  <pic:blipFill>
                    <a:blip r:embed="rId29"/>
                    <a:srcRect b="0" l="0" r="0" t="0"/>
                    <a:stretch>
                      <a:fillRect/>
                    </a:stretch>
                  </pic:blipFill>
                  <pic:spPr>
                    <a:xfrm>
                      <a:off x="0" y="0"/>
                      <a:ext cx="5610463" cy="3967479"/>
                    </a:xfrm>
                    <a:prstGeom prst="rect"/>
                    <a:ln/>
                  </pic:spPr>
                </pic:pic>
              </a:graphicData>
            </a:graphic>
          </wp:inline>
        </w:drawing>
      </w:r>
      <w:r w:rsidDel="00000000" w:rsidR="00000000" w:rsidRPr="00000000">
        <w:rPr>
          <w:rtl w:val="0"/>
        </w:rPr>
      </w:r>
    </w:p>
    <w:p w:rsidR="00000000" w:rsidDel="00000000" w:rsidP="00000000" w:rsidRDefault="00000000" w:rsidRPr="00000000" w14:paraId="0000032A">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14. Variable 6: Sitios RAMSAR, criterio ecológico del componente valor.</w:t>
      </w:r>
    </w:p>
    <w:p w:rsidR="00000000" w:rsidDel="00000000" w:rsidP="00000000" w:rsidRDefault="00000000" w:rsidRPr="00000000" w14:paraId="0000032B">
      <w:pPr>
        <w:pStyle w:val="Heading3"/>
        <w:rPr>
          <w:rFonts w:ascii="Arial" w:cs="Arial" w:eastAsia="Arial" w:hAnsi="Arial"/>
          <w:color w:val="c00000"/>
          <w:sz w:val="22"/>
          <w:szCs w:val="22"/>
        </w:rPr>
      </w:pPr>
      <w:bookmarkStart w:colFirst="0" w:colLast="0" w:name="_heading=h.6045e9w41j13" w:id="53"/>
      <w:bookmarkEnd w:id="53"/>
      <w:r w:rsidDel="00000000" w:rsidR="00000000" w:rsidRPr="00000000">
        <w:rPr>
          <w:rFonts w:ascii="Arial" w:cs="Arial" w:eastAsia="Arial" w:hAnsi="Arial"/>
          <w:color w:val="135b42"/>
          <w:sz w:val="22"/>
          <w:szCs w:val="22"/>
          <w:rtl w:val="0"/>
        </w:rPr>
        <w:t xml:space="preserve">Clase de respuesta al fuego de acuerdo con el tipo de vegetación</w:t>
      </w:r>
      <w:r w:rsidDel="00000000" w:rsidR="00000000" w:rsidRPr="00000000">
        <w:rPr>
          <w:rtl w:val="0"/>
        </w:rPr>
      </w:r>
    </w:p>
    <w:p w:rsidR="00000000" w:rsidDel="00000000" w:rsidP="00000000" w:rsidRDefault="00000000" w:rsidRPr="00000000" w14:paraId="0000032C">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 refiere a la capacidad de resistencia de las especies vegetales ante la presencia del fuego, la cual puede variar ampliamente dependiendo de las características ecológicas, climáticas y biológicas de cada ecosistema (Hardesty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2005). La NOM-015-SAGARPA-2023 clasifica a los 53 tipos de vegetación en nuestro país de acuerdo con el INEGI (2021), los tipos de combustible, zonas bioclimáticas, así como los regímenes de fuego potenciales descritos en Jardel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(2014), algunas adaptaciones vegetales mencionadas en Rodríguez-Trejo (2014) y Jardel-Peláez </w:t>
      </w:r>
      <w:r w:rsidDel="00000000" w:rsidR="00000000" w:rsidRPr="00000000">
        <w:rPr>
          <w:rFonts w:ascii="Arial" w:cs="Arial" w:eastAsia="Arial" w:hAnsi="Arial"/>
          <w:i w:val="1"/>
          <w:sz w:val="20"/>
          <w:szCs w:val="20"/>
          <w:rtl w:val="0"/>
        </w:rPr>
        <w:t xml:space="preserve">et al. </w:t>
      </w:r>
      <w:r w:rsidDel="00000000" w:rsidR="00000000" w:rsidRPr="00000000">
        <w:rPr>
          <w:rFonts w:ascii="Arial" w:cs="Arial" w:eastAsia="Arial" w:hAnsi="Arial"/>
          <w:sz w:val="20"/>
          <w:szCs w:val="20"/>
          <w:rtl w:val="0"/>
        </w:rPr>
        <w:t xml:space="preserve">(2018a, b). Se han definido 5 clases (SEMARNAT, 2023) y una sexta considerada para discriminar zonas no forestales (no aplica):</w:t>
      </w:r>
    </w:p>
    <w:p w:rsidR="00000000" w:rsidDel="00000000" w:rsidP="00000000" w:rsidRDefault="00000000" w:rsidRPr="00000000" w14:paraId="0000032D">
      <w:pPr>
        <w:numPr>
          <w:ilvl w:val="0"/>
          <w:numId w:val="1"/>
        </w:numPr>
        <w:pBdr>
          <w:top w:space="0" w:sz="0" w:val="nil"/>
          <w:left w:space="0" w:sz="0" w:val="nil"/>
          <w:bottom w:space="0" w:sz="0" w:val="nil"/>
          <w:right w:space="0" w:sz="0" w:val="nil"/>
          <w:between w:space="0" w:sz="0" w:val="nil"/>
        </w:pBdr>
        <w:spacing w:after="120" w:lineRule="auto"/>
        <w:ind w:left="720" w:hanging="360"/>
        <w:jc w:val="both"/>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Sensibles</w:t>
      </w:r>
      <w:r w:rsidDel="00000000" w:rsidR="00000000" w:rsidRPr="00000000">
        <w:rPr>
          <w:rFonts w:ascii="Arial" w:cs="Arial" w:eastAsia="Arial" w:hAnsi="Arial"/>
          <w:color w:val="000000"/>
          <w:sz w:val="20"/>
          <w:szCs w:val="20"/>
          <w:rtl w:val="0"/>
        </w:rPr>
        <w:t xml:space="preserve">. Son ecosistemas donde la propagación del fuego es limitada por humedad constante, sequías estacionales que previenen la acumulación de combustible, o aridez que crea combustibles discontinuos, como selvas perennifolias y matorrales xerófilos. Los incendios son poco frecuentes; la flora y fauna carecen de adaptaciones al fuego, por lo que incluso incendios de baja intensidad pueden tener impactos severos en la regeneración y funciones ecosistémicas. Los incendios ocurren principalmente debido a anomalías climáticas o actividades humanas, que alteran significativamente la composición de estos ecosistemas.</w:t>
      </w:r>
    </w:p>
    <w:p w:rsidR="00000000" w:rsidDel="00000000" w:rsidP="00000000" w:rsidRDefault="00000000" w:rsidRPr="00000000" w14:paraId="0000032E">
      <w:pPr>
        <w:numPr>
          <w:ilvl w:val="0"/>
          <w:numId w:val="1"/>
        </w:numPr>
        <w:pBdr>
          <w:top w:space="0" w:sz="0" w:val="nil"/>
          <w:left w:space="0" w:sz="0" w:val="nil"/>
          <w:bottom w:space="0" w:sz="0" w:val="nil"/>
          <w:right w:space="0" w:sz="0" w:val="nil"/>
          <w:between w:space="0" w:sz="0" w:val="nil"/>
        </w:pBdr>
        <w:spacing w:after="120" w:lineRule="auto"/>
        <w:ind w:left="720" w:hanging="360"/>
        <w:jc w:val="both"/>
        <w:rPr>
          <w:rFonts w:ascii="Arial" w:cs="Arial" w:eastAsia="Arial" w:hAnsi="Arial"/>
          <w:color w:val="000000"/>
          <w:sz w:val="20"/>
          <w:szCs w:val="20"/>
        </w:rPr>
      </w:pPr>
      <w:bookmarkStart w:colFirst="0" w:colLast="0" w:name="_heading=h.111kx3o" w:id="54"/>
      <w:bookmarkEnd w:id="54"/>
      <w:r w:rsidDel="00000000" w:rsidR="00000000" w:rsidRPr="00000000">
        <w:rPr>
          <w:rFonts w:ascii="Arial" w:cs="Arial" w:eastAsia="Arial" w:hAnsi="Arial"/>
          <w:b w:val="1"/>
          <w:color w:val="000000"/>
          <w:sz w:val="20"/>
          <w:szCs w:val="20"/>
          <w:rtl w:val="0"/>
        </w:rPr>
        <w:t xml:space="preserve">Influidos</w:t>
      </w:r>
      <w:r w:rsidDel="00000000" w:rsidR="00000000" w:rsidRPr="00000000">
        <w:rPr>
          <w:rFonts w:ascii="Arial" w:cs="Arial" w:eastAsia="Arial" w:hAnsi="Arial"/>
          <w:color w:val="000000"/>
          <w:sz w:val="20"/>
          <w:szCs w:val="20"/>
          <w:rtl w:val="0"/>
        </w:rPr>
        <w:t xml:space="preserve">. Presentan vegetación única o transicional, cuyas características están definidas por condiciones atmosféricas, edáficas o hidrológicas específicas que afectan tanto la vegetación como la disponibilidad de combustibles, ocasionando en regímenes de fuego particulares. El conocimiento científico es limitado en cuanto a su respuesta al fuego, cualquier aplicación del fuego en estos ecosistemas se realiza de manera experimental.</w:t>
      </w:r>
    </w:p>
    <w:p w:rsidR="00000000" w:rsidDel="00000000" w:rsidP="00000000" w:rsidRDefault="00000000" w:rsidRPr="00000000" w14:paraId="0000032F">
      <w:pPr>
        <w:numPr>
          <w:ilvl w:val="0"/>
          <w:numId w:val="1"/>
        </w:numPr>
        <w:pBdr>
          <w:top w:space="0" w:sz="0" w:val="nil"/>
          <w:left w:space="0" w:sz="0" w:val="nil"/>
          <w:bottom w:space="0" w:sz="0" w:val="nil"/>
          <w:right w:space="0" w:sz="0" w:val="nil"/>
          <w:between w:space="0" w:sz="0" w:val="nil"/>
        </w:pBdr>
        <w:spacing w:after="120" w:lineRule="auto"/>
        <w:ind w:left="720" w:hanging="360"/>
        <w:jc w:val="both"/>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Especiales</w:t>
      </w:r>
      <w:r w:rsidDel="00000000" w:rsidR="00000000" w:rsidRPr="00000000">
        <w:rPr>
          <w:rFonts w:ascii="Arial" w:cs="Arial" w:eastAsia="Arial" w:hAnsi="Arial"/>
          <w:color w:val="000000"/>
          <w:sz w:val="20"/>
          <w:szCs w:val="20"/>
          <w:rtl w:val="0"/>
        </w:rPr>
        <w:t xml:space="preserve">. Son aquellos donde su régimen hídrico y características ecológicas, presentan comportamientos particulares ante la incidencia de incendios. El tipo de vegetación como los humedales donde la inundación (saturación de agua) puede ser permanente o temporal, lo que implica un riesgo muy bajo de incendios debido a la alta humedad constante, a menos que factores externos alteren el flujo hidrológico y sequen el área, lo que los pueda volver susceptibles a altas probabilidades de ocurrencia de incendio.</w:t>
      </w:r>
    </w:p>
    <w:p w:rsidR="00000000" w:rsidDel="00000000" w:rsidP="00000000" w:rsidRDefault="00000000" w:rsidRPr="00000000" w14:paraId="00000330">
      <w:pPr>
        <w:numPr>
          <w:ilvl w:val="0"/>
          <w:numId w:val="1"/>
        </w:numPr>
        <w:pBdr>
          <w:top w:space="0" w:sz="0" w:val="nil"/>
          <w:left w:space="0" w:sz="0" w:val="nil"/>
          <w:bottom w:space="0" w:sz="0" w:val="nil"/>
          <w:right w:space="0" w:sz="0" w:val="nil"/>
          <w:between w:space="0" w:sz="0" w:val="nil"/>
        </w:pBdr>
        <w:spacing w:after="120" w:lineRule="auto"/>
        <w:ind w:left="720" w:hanging="360"/>
        <w:jc w:val="both"/>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Dependientes</w:t>
      </w:r>
      <w:r w:rsidDel="00000000" w:rsidR="00000000" w:rsidRPr="00000000">
        <w:rPr>
          <w:rFonts w:ascii="Arial" w:cs="Arial" w:eastAsia="Arial" w:hAnsi="Arial"/>
          <w:color w:val="000000"/>
          <w:sz w:val="20"/>
          <w:szCs w:val="20"/>
          <w:rtl w:val="0"/>
        </w:rPr>
        <w:t xml:space="preserve">. Son aquellos cuya conservación y dinámica natural requieren de incendios frecuentes, de baja a moderada intensidad, para mantener su estructura y biodiversidad. La supresión del fuego altera su composición y aumenta el riesgo de incendios más severos, haciendo esencial la aplicación del fuego prescrito para su manejo. </w:t>
      </w:r>
    </w:p>
    <w:p w:rsidR="00000000" w:rsidDel="00000000" w:rsidP="00000000" w:rsidRDefault="00000000" w:rsidRPr="00000000" w14:paraId="00000331">
      <w:pPr>
        <w:numPr>
          <w:ilvl w:val="0"/>
          <w:numId w:val="1"/>
        </w:numPr>
        <w:pBdr>
          <w:top w:space="0" w:sz="0" w:val="nil"/>
          <w:left w:space="0" w:sz="0" w:val="nil"/>
          <w:bottom w:space="0" w:sz="0" w:val="nil"/>
          <w:right w:space="0" w:sz="0" w:val="nil"/>
          <w:between w:space="0" w:sz="0" w:val="nil"/>
        </w:pBdr>
        <w:spacing w:after="120" w:lineRule="auto"/>
        <w:ind w:left="720" w:hanging="360"/>
        <w:jc w:val="both"/>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Independientes</w:t>
      </w:r>
      <w:r w:rsidDel="00000000" w:rsidR="00000000" w:rsidRPr="00000000">
        <w:rPr>
          <w:rFonts w:ascii="Arial" w:cs="Arial" w:eastAsia="Arial" w:hAnsi="Arial"/>
          <w:color w:val="000000"/>
          <w:sz w:val="20"/>
          <w:szCs w:val="20"/>
          <w:rtl w:val="0"/>
        </w:rPr>
        <w:t xml:space="preserve">. Se caracterizan por la falta de condiciones propicias para la propagación del fuego, debido a la escasez o ausencia de vegetación, condiciones de aridez, bajas temperaturas o limitaciones del suelo que impiden el crecimiento vegetal. Estas áreas no dependen del fuego para su mantenimiento o regeneración.</w:t>
      </w:r>
    </w:p>
    <w:p w:rsidR="00000000" w:rsidDel="00000000" w:rsidP="00000000" w:rsidRDefault="00000000" w:rsidRPr="00000000" w14:paraId="00000332">
      <w:pPr>
        <w:numPr>
          <w:ilvl w:val="0"/>
          <w:numId w:val="1"/>
        </w:numPr>
        <w:pBdr>
          <w:top w:space="0" w:sz="0" w:val="nil"/>
          <w:left w:space="0" w:sz="0" w:val="nil"/>
          <w:bottom w:space="0" w:sz="0" w:val="nil"/>
          <w:right w:space="0" w:sz="0" w:val="nil"/>
          <w:between w:space="0" w:sz="0" w:val="nil"/>
        </w:pBdr>
        <w:ind w:left="720" w:hanging="360"/>
        <w:jc w:val="both"/>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No aplica</w:t>
      </w:r>
      <w:r w:rsidDel="00000000" w:rsidR="00000000" w:rsidRPr="00000000">
        <w:rPr>
          <w:rFonts w:ascii="Arial" w:cs="Arial" w:eastAsia="Arial" w:hAnsi="Arial"/>
          <w:color w:val="000000"/>
          <w:sz w:val="20"/>
          <w:szCs w:val="20"/>
          <w:rtl w:val="0"/>
        </w:rPr>
        <w:t xml:space="preserve">. Áreas que carecen de vegetación forestal, incluyen: asentamientos humanos (urbano y rural), suelo desnudo, cuerpos de agua y tierras agrícolas.</w:t>
      </w:r>
    </w:p>
    <w:p w:rsidR="00000000" w:rsidDel="00000000" w:rsidP="00000000" w:rsidRDefault="00000000" w:rsidRPr="00000000" w14:paraId="00000333">
      <w:pPr>
        <w:pBdr>
          <w:top w:space="0" w:sz="0" w:val="nil"/>
          <w:left w:space="0" w:sz="0" w:val="nil"/>
          <w:bottom w:space="0" w:sz="0" w:val="nil"/>
          <w:right w:space="0" w:sz="0" w:val="nil"/>
          <w:between w:space="0" w:sz="0" w:val="nil"/>
        </w:pBd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El cuadro de reclasificación para cada uno de los elementos considerados se muestra en el “</w:t>
      </w:r>
      <w:r w:rsidDel="00000000" w:rsidR="00000000" w:rsidRPr="00000000">
        <w:rPr>
          <w:rFonts w:ascii="Arial" w:cs="Arial" w:eastAsia="Arial" w:hAnsi="Arial"/>
          <w:i w:val="1"/>
          <w:color w:val="000000"/>
          <w:sz w:val="20"/>
          <w:szCs w:val="20"/>
          <w:rtl w:val="0"/>
        </w:rPr>
        <w:t xml:space="preserve">Apéndice C. Normativo. Clasificación de ecosistemas terrestres de México por su respuesta a los regímenes de fuego” </w:t>
      </w:r>
      <w:r w:rsidDel="00000000" w:rsidR="00000000" w:rsidRPr="00000000">
        <w:rPr>
          <w:rFonts w:ascii="Arial" w:cs="Arial" w:eastAsia="Arial" w:hAnsi="Arial"/>
          <w:color w:val="000000"/>
          <w:sz w:val="20"/>
          <w:szCs w:val="20"/>
          <w:rtl w:val="0"/>
        </w:rPr>
        <w:t xml:space="preserve">de la NOM-015 (</w:t>
      </w:r>
      <w:r w:rsidDel="00000000" w:rsidR="00000000" w:rsidRPr="00000000">
        <w:rPr>
          <w:rFonts w:ascii="Arial" w:cs="Arial" w:eastAsia="Arial" w:hAnsi="Arial"/>
          <w:sz w:val="20"/>
          <w:szCs w:val="20"/>
          <w:rtl w:val="0"/>
        </w:rPr>
        <w:t xml:space="preserve">SEMARNAT, 2023</w:t>
      </w:r>
      <w:r w:rsidDel="00000000" w:rsidR="00000000" w:rsidRPr="00000000">
        <w:rPr>
          <w:rFonts w:ascii="Arial" w:cs="Arial" w:eastAsia="Arial" w:hAnsi="Arial"/>
          <w:color w:val="000000"/>
          <w:sz w:val="20"/>
          <w:szCs w:val="20"/>
          <w:rtl w:val="0"/>
        </w:rPr>
        <w:t xml:space="preserve">). La ponderación para esta variable se exhibe en el </w:t>
      </w:r>
      <w:r w:rsidDel="00000000" w:rsidR="00000000" w:rsidRPr="00000000">
        <w:rPr>
          <w:rFonts w:ascii="Arial" w:cs="Arial" w:eastAsia="Arial" w:hAnsi="Arial"/>
          <w:sz w:val="20"/>
          <w:szCs w:val="20"/>
          <w:rtl w:val="0"/>
        </w:rPr>
        <w:t xml:space="preserve">Cuadro 13</w:t>
      </w:r>
      <w:r w:rsidDel="00000000" w:rsidR="00000000" w:rsidRPr="00000000">
        <w:rPr>
          <w:rFonts w:ascii="Arial" w:cs="Arial" w:eastAsia="Arial" w:hAnsi="Arial"/>
          <w:color w:val="000000"/>
          <w:sz w:val="20"/>
          <w:szCs w:val="20"/>
          <w:rtl w:val="0"/>
        </w:rPr>
        <w:t xml:space="preserve">.</w:t>
      </w:r>
    </w:p>
    <w:tbl>
      <w:tblPr>
        <w:tblStyle w:val="Table13"/>
        <w:tblW w:w="8838.0" w:type="dxa"/>
        <w:jc w:val="left"/>
        <w:tblLayout w:type="fixed"/>
        <w:tblLook w:val="0400"/>
      </w:tblPr>
      <w:tblGrid>
        <w:gridCol w:w="2341"/>
        <w:gridCol w:w="2757"/>
        <w:gridCol w:w="2978"/>
        <w:gridCol w:w="762"/>
        <w:tblGridChange w:id="0">
          <w:tblGrid>
            <w:gridCol w:w="2341"/>
            <w:gridCol w:w="2757"/>
            <w:gridCol w:w="2978"/>
            <w:gridCol w:w="762"/>
          </w:tblGrid>
        </w:tblGridChange>
      </w:tblGrid>
      <w:tr>
        <w:trPr>
          <w:cantSplit w:val="0"/>
          <w:trHeight w:val="233" w:hRule="atLeast"/>
          <w:tblHeader w:val="0"/>
        </w:trPr>
        <w:tc>
          <w:tcPr>
            <w:gridSpan w:val="4"/>
            <w:tcBorders>
              <w:top w:color="000000" w:space="0" w:sz="0" w:val="nil"/>
              <w:left w:color="000000" w:space="0" w:sz="0" w:val="nil"/>
              <w:bottom w:color="000000" w:space="0" w:sz="4" w:val="single"/>
              <w:right w:color="000000" w:space="0" w:sz="0" w:val="nil"/>
            </w:tcBorders>
            <w:shd w:fill="ffffff" w:val="clear"/>
            <w:vAlign w:val="bottom"/>
          </w:tcPr>
          <w:p w:rsidR="00000000" w:rsidDel="00000000" w:rsidP="00000000" w:rsidRDefault="00000000" w:rsidRPr="00000000" w14:paraId="00000334">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3l18frh" w:id="55"/>
            <w:bookmarkEnd w:id="55"/>
            <w:r w:rsidDel="00000000" w:rsidR="00000000" w:rsidRPr="00000000">
              <w:rPr>
                <w:rFonts w:ascii="Arial" w:cs="Arial" w:eastAsia="Arial" w:hAnsi="Arial"/>
                <w:i w:val="1"/>
                <w:color w:val="0e2841"/>
                <w:sz w:val="20"/>
                <w:szCs w:val="20"/>
                <w:rtl w:val="0"/>
              </w:rPr>
              <w:t xml:space="preserve"> Cuadro 13. Ponderación por tipo de clase de respuesta al fuego.</w:t>
            </w:r>
          </w:p>
        </w:tc>
      </w:tr>
      <w:tr>
        <w:trPr>
          <w:cantSplit w:val="0"/>
          <w:trHeight w:val="31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38">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CATEGORIA</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39">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3A">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3B">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3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Sensible</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3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3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69,549,979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3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35.4</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40">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Especial</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4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4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7,856,973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4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4.0</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44">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Influida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4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4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21,384,887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4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10.9</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48">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Dependiente</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4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4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31,732,651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4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16.2</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4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Independiente</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4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4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2,204,408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4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1.1</w:t>
            </w:r>
          </w:p>
        </w:tc>
      </w:tr>
      <w:tr>
        <w:trPr>
          <w:cantSplit w:val="0"/>
          <w:trHeight w:val="31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50">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 aplica</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5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5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63,500,310</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5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32.4</w:t>
            </w:r>
          </w:p>
        </w:tc>
      </w:tr>
      <w:tr>
        <w:trPr>
          <w:cantSplit w:val="0"/>
          <w:trHeight w:val="315" w:hRule="atLeast"/>
          <w:tblHeader w:val="0"/>
        </w:trPr>
        <w:tc>
          <w:tcPr>
            <w:gridSpan w:val="2"/>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54">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56">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57">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210" w:hRule="atLeast"/>
          <w:tblHeader w:val="0"/>
        </w:trPr>
        <w:tc>
          <w:tcPr>
            <w:gridSpan w:val="4"/>
            <w:tcBorders>
              <w:top w:color="000000" w:space="0" w:sz="0" w:val="nil"/>
              <w:left w:color="000000" w:space="0" w:sz="0" w:val="nil"/>
              <w:bottom w:color="000000" w:space="0" w:sz="0" w:val="nil"/>
              <w:right w:color="000000" w:space="0" w:sz="0" w:val="nil"/>
            </w:tcBorders>
            <w:shd w:fill="ffffff" w:val="clear"/>
            <w:vAlign w:val="center"/>
          </w:tcPr>
          <w:p w:rsidR="00000000" w:rsidDel="00000000" w:rsidP="00000000" w:rsidRDefault="00000000" w:rsidRPr="00000000" w14:paraId="00000358">
            <w:pPr>
              <w:spacing w:after="0" w:line="240" w:lineRule="auto"/>
              <w:rPr>
                <w:rFonts w:ascii="Arial" w:cs="Arial" w:eastAsia="Arial" w:hAnsi="Arial"/>
                <w:color w:val="000000"/>
                <w:sz w:val="18"/>
                <w:szCs w:val="18"/>
              </w:rPr>
            </w:pPr>
            <w:r w:rsidDel="00000000" w:rsidR="00000000" w:rsidRPr="00000000">
              <w:rPr>
                <w:rtl w:val="0"/>
              </w:rPr>
            </w:r>
          </w:p>
        </w:tc>
      </w:tr>
    </w:tbl>
    <w:p w:rsidR="00000000" w:rsidDel="00000000" w:rsidP="00000000" w:rsidRDefault="00000000" w:rsidRPr="00000000" w14:paraId="0000035C">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5D">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0463" cy="3967478"/>
            <wp:effectExtent b="0" l="0" r="0" t="0"/>
            <wp:docPr id="2101763752" name="image27.png"/>
            <a:graphic>
              <a:graphicData uri="http://schemas.openxmlformats.org/drawingml/2006/picture">
                <pic:pic>
                  <pic:nvPicPr>
                    <pic:cNvPr id="0" name="image27.png"/>
                    <pic:cNvPicPr preferRelativeResize="0"/>
                  </pic:nvPicPr>
                  <pic:blipFill>
                    <a:blip r:embed="rId30"/>
                    <a:srcRect b="0" l="0" r="0" t="0"/>
                    <a:stretch>
                      <a:fillRect/>
                    </a:stretch>
                  </pic:blipFill>
                  <pic:spPr>
                    <a:xfrm>
                      <a:off x="0" y="0"/>
                      <a:ext cx="5610463" cy="3967478"/>
                    </a:xfrm>
                    <a:prstGeom prst="rect"/>
                    <a:ln/>
                  </pic:spPr>
                </pic:pic>
              </a:graphicData>
            </a:graphic>
          </wp:inline>
        </w:drawing>
      </w:r>
      <w:r w:rsidDel="00000000" w:rsidR="00000000" w:rsidRPr="00000000">
        <w:rPr>
          <w:rtl w:val="0"/>
        </w:rPr>
      </w:r>
    </w:p>
    <w:p w:rsidR="00000000" w:rsidDel="00000000" w:rsidP="00000000" w:rsidRDefault="00000000" w:rsidRPr="00000000" w14:paraId="0000035E">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15. Variable 7: Clase de respuesta al fuego de acuerdo con el tipo de vegetación, criterio ecológico del componente valor.</w:t>
      </w:r>
    </w:p>
    <w:p w:rsidR="00000000" w:rsidDel="00000000" w:rsidP="00000000" w:rsidRDefault="00000000" w:rsidRPr="00000000" w14:paraId="0000035F">
      <w:pPr>
        <w:pStyle w:val="Heading3"/>
        <w:rPr>
          <w:rFonts w:ascii="Arial" w:cs="Arial" w:eastAsia="Arial" w:hAnsi="Arial"/>
          <w:b w:val="1"/>
          <w:color w:val="135b42"/>
          <w:sz w:val="22"/>
          <w:szCs w:val="22"/>
        </w:rPr>
      </w:pPr>
      <w:bookmarkStart w:colFirst="0" w:colLast="0" w:name="_heading=h.8g7hhnqbz09q" w:id="56"/>
      <w:bookmarkEnd w:id="56"/>
      <w:r w:rsidDel="00000000" w:rsidR="00000000" w:rsidRPr="00000000">
        <w:rPr>
          <w:rFonts w:ascii="Arial" w:cs="Arial" w:eastAsia="Arial" w:hAnsi="Arial"/>
          <w:b w:val="1"/>
          <w:color w:val="135b42"/>
          <w:sz w:val="22"/>
          <w:szCs w:val="22"/>
          <w:rtl w:val="0"/>
        </w:rPr>
        <w:t xml:space="preserve">Mapa del criterio valor-ecológico</w:t>
      </w:r>
    </w:p>
    <w:p w:rsidR="00000000" w:rsidDel="00000000" w:rsidP="00000000" w:rsidRDefault="00000000" w:rsidRPr="00000000" w14:paraId="00000360">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Para obtener este mapa, se realiza la suma de cada una de estas capas, los valores de esta capa van de un rango de 0 a 11, las cuales se reclasifican en 5 categorías, tal como se muestra en el Cuadro 14. </w:t>
      </w:r>
    </w:p>
    <w:tbl>
      <w:tblPr>
        <w:tblStyle w:val="Table14"/>
        <w:tblW w:w="8838.0" w:type="dxa"/>
        <w:jc w:val="left"/>
        <w:tblLayout w:type="fixed"/>
        <w:tblLook w:val="0400"/>
      </w:tblPr>
      <w:tblGrid>
        <w:gridCol w:w="2693"/>
        <w:gridCol w:w="1594"/>
        <w:gridCol w:w="3618"/>
        <w:gridCol w:w="933"/>
        <w:tblGridChange w:id="0">
          <w:tblGrid>
            <w:gridCol w:w="2693"/>
            <w:gridCol w:w="1594"/>
            <w:gridCol w:w="3618"/>
            <w:gridCol w:w="933"/>
          </w:tblGrid>
        </w:tblGridChange>
      </w:tblGrid>
      <w:tr>
        <w:trPr>
          <w:cantSplit w:val="0"/>
          <w:trHeight w:val="285" w:hRule="atLeast"/>
          <w:tblHeader w:val="0"/>
        </w:trPr>
        <w:tc>
          <w:tcPr>
            <w:gridSpan w:val="4"/>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61">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4k668n3" w:id="57"/>
            <w:bookmarkEnd w:id="57"/>
            <w:r w:rsidDel="00000000" w:rsidR="00000000" w:rsidRPr="00000000">
              <w:rPr>
                <w:rFonts w:ascii="Arial" w:cs="Arial" w:eastAsia="Arial" w:hAnsi="Arial"/>
                <w:i w:val="1"/>
                <w:color w:val="0e2841"/>
                <w:sz w:val="20"/>
                <w:szCs w:val="20"/>
                <w:rtl w:val="0"/>
              </w:rPr>
              <w:t xml:space="preserve"> Cuadro 14. Ponderación por categoría del criterio valor-ecológico</w:t>
            </w:r>
          </w:p>
        </w:tc>
      </w:tr>
      <w:tr>
        <w:trPr>
          <w:cantSplit w:val="0"/>
          <w:trHeight w:val="28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65">
            <w:pPr>
              <w:spacing w:after="0" w:line="240" w:lineRule="auto"/>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CATEGORÍA</w:t>
            </w:r>
          </w:p>
          <w:p w:rsidR="00000000" w:rsidDel="00000000" w:rsidP="00000000" w:rsidRDefault="00000000" w:rsidRPr="00000000" w14:paraId="00000366">
            <w:pPr>
              <w:spacing w:after="0" w:line="240" w:lineRule="auto"/>
              <w:jc w:val="center"/>
              <w:rPr>
                <w:rFonts w:ascii="Arial" w:cs="Arial" w:eastAsia="Arial" w:hAnsi="Arial"/>
                <w:b w:val="1"/>
                <w:color w:val="0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67">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VALOR</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68">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69">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6A">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 aplica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6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6C">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52,810,250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6D">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26.9</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6E">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Muy bajo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6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 a 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7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30,816,336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71">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15.7</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72">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Bajo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7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 a 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7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77,276,698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75">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39.4</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76">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Medio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7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 a 6</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7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19,654,582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79">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10</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7A">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Alto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7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 a 11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7C">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15,671,342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7D">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8</w:t>
            </w:r>
          </w:p>
        </w:tc>
      </w:tr>
      <w:tr>
        <w:trPr>
          <w:cantSplit w:val="0"/>
          <w:trHeight w:val="285" w:hRule="atLeast"/>
          <w:tblHeader w:val="0"/>
        </w:trPr>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7E">
            <w:pPr>
              <w:spacing w:after="0" w:line="240" w:lineRule="auto"/>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7F">
            <w:pPr>
              <w:spacing w:after="0" w:line="240" w:lineRule="auto"/>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 </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80">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81">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180" w:hRule="atLeast"/>
          <w:tblHeader w:val="0"/>
        </w:trPr>
        <w:tc>
          <w:tcPr>
            <w:gridSpan w:val="4"/>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82">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 </w:t>
            </w:r>
          </w:p>
        </w:tc>
      </w:tr>
    </w:tbl>
    <w:p w:rsidR="00000000" w:rsidDel="00000000" w:rsidP="00000000" w:rsidRDefault="00000000" w:rsidRPr="00000000" w14:paraId="00000386">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87">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0463" cy="3967478"/>
            <wp:effectExtent b="0" l="0" r="0" t="0"/>
            <wp:docPr id="2101763753" name="image36.png"/>
            <a:graphic>
              <a:graphicData uri="http://schemas.openxmlformats.org/drawingml/2006/picture">
                <pic:pic>
                  <pic:nvPicPr>
                    <pic:cNvPr id="0" name="image36.png"/>
                    <pic:cNvPicPr preferRelativeResize="0"/>
                  </pic:nvPicPr>
                  <pic:blipFill>
                    <a:blip r:embed="rId31"/>
                    <a:srcRect b="0" l="0" r="0" t="0"/>
                    <a:stretch>
                      <a:fillRect/>
                    </a:stretch>
                  </pic:blipFill>
                  <pic:spPr>
                    <a:xfrm>
                      <a:off x="0" y="0"/>
                      <a:ext cx="5610463" cy="3967478"/>
                    </a:xfrm>
                    <a:prstGeom prst="rect"/>
                    <a:ln/>
                  </pic:spPr>
                </pic:pic>
              </a:graphicData>
            </a:graphic>
          </wp:inline>
        </w:drawing>
      </w:r>
      <w:r w:rsidDel="00000000" w:rsidR="00000000" w:rsidRPr="00000000">
        <w:rPr>
          <w:rtl w:val="0"/>
        </w:rPr>
      </w:r>
    </w:p>
    <w:p w:rsidR="00000000" w:rsidDel="00000000" w:rsidP="00000000" w:rsidRDefault="00000000" w:rsidRPr="00000000" w14:paraId="00000388">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16. Criterio ecológico del componente valor.</w:t>
      </w:r>
    </w:p>
    <w:p w:rsidR="00000000" w:rsidDel="00000000" w:rsidP="00000000" w:rsidRDefault="00000000" w:rsidRPr="00000000" w14:paraId="00000389">
      <w:pPr>
        <w:pStyle w:val="Heading2"/>
        <w:rPr>
          <w:b w:val="1"/>
          <w:color w:val="135b42"/>
          <w:sz w:val="22"/>
          <w:szCs w:val="22"/>
        </w:rPr>
      </w:pPr>
      <w:bookmarkStart w:colFirst="0" w:colLast="0" w:name="_heading=h.w9qxd7sl8m1c" w:id="58"/>
      <w:bookmarkEnd w:id="58"/>
      <w:r w:rsidDel="00000000" w:rsidR="00000000" w:rsidRPr="00000000">
        <w:rPr>
          <w:b w:val="1"/>
          <w:color w:val="135b42"/>
          <w:sz w:val="22"/>
          <w:szCs w:val="22"/>
          <w:rtl w:val="0"/>
        </w:rPr>
        <w:t xml:space="preserve">Criterio valor-sociocultural</w:t>
      </w:r>
    </w:p>
    <w:p w:rsidR="00000000" w:rsidDel="00000000" w:rsidP="00000000" w:rsidRDefault="00000000" w:rsidRPr="00000000" w14:paraId="0000038A">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Resalta el impacto que los incendios forestales tienen en las comunidades humanas, tomando en cuenta factores culturales, sociales y demográficos. Al estudiar el comportamiento de la población en relación con los incendios, se pueden identificar las necesidades y estrategias para reducir el riesgo y peligro no solamente sus recursos naturales sino también el bienestar de las comunidades (Flores-Garnica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2016). </w:t>
      </w:r>
    </w:p>
    <w:p w:rsidR="00000000" w:rsidDel="00000000" w:rsidP="00000000" w:rsidRDefault="00000000" w:rsidRPr="00000000" w14:paraId="0000038B">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 crucial tener en cuenta que las zonas con menores recursos económicos, infraestructura de prevención limitada y niveles educativos más bajos tienden a ser más vulnerables a los incendios forestales (Rodríguez-Trejo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2008). Este enfoque permite una planificación territorial y gestión de desastres más efectiva, abordando las deficiencias socioeconómicas que incrementan la susceptibilidad a estos eventos (Segura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2014).</w:t>
      </w:r>
    </w:p>
    <w:p w:rsidR="00000000" w:rsidDel="00000000" w:rsidP="00000000" w:rsidRDefault="00000000" w:rsidRPr="00000000" w14:paraId="0000038C">
      <w:pPr>
        <w:pStyle w:val="Heading3"/>
        <w:rPr>
          <w:rFonts w:ascii="Arial" w:cs="Arial" w:eastAsia="Arial" w:hAnsi="Arial"/>
          <w:color w:val="135b42"/>
          <w:sz w:val="22"/>
          <w:szCs w:val="22"/>
        </w:rPr>
      </w:pPr>
      <w:bookmarkStart w:colFirst="0" w:colLast="0" w:name="_heading=h.42xmlhyjgkgz" w:id="59"/>
      <w:bookmarkEnd w:id="59"/>
      <w:r w:rsidDel="00000000" w:rsidR="00000000" w:rsidRPr="00000000">
        <w:rPr>
          <w:rFonts w:ascii="Arial" w:cs="Arial" w:eastAsia="Arial" w:hAnsi="Arial"/>
          <w:color w:val="135b42"/>
          <w:sz w:val="22"/>
          <w:szCs w:val="22"/>
          <w:rtl w:val="0"/>
        </w:rPr>
        <w:t xml:space="preserve">Presencia de población indígena por municipio</w:t>
      </w:r>
    </w:p>
    <w:p w:rsidR="00000000" w:rsidDel="00000000" w:rsidP="00000000" w:rsidRDefault="00000000" w:rsidRPr="00000000" w14:paraId="0000038D">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 generó de acuerdo con la información del Censo de población y vivienda generado por INEGI (2020), donde se tomó en cuenta la población de 3 años y más que habla alguna lengua indígena, esto similar a la adscripción empleada por Lara (2024), donde la población indígena se encuentra compuesta por 70 pueblos indígenas, con 68 agrupaciones lingüísticas y 364 variaciones de estas. Se definieron cuatro categorías, las cuales se indican y representan en el Cuadro 15. </w:t>
      </w:r>
    </w:p>
    <w:p w:rsidR="00000000" w:rsidDel="00000000" w:rsidP="00000000" w:rsidRDefault="00000000" w:rsidRPr="00000000" w14:paraId="0000038E">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8F">
      <w:pPr>
        <w:jc w:val="both"/>
        <w:rPr>
          <w:rFonts w:ascii="Arial" w:cs="Arial" w:eastAsia="Arial" w:hAnsi="Arial"/>
          <w:sz w:val="20"/>
          <w:szCs w:val="20"/>
        </w:rPr>
      </w:pPr>
      <w:r w:rsidDel="00000000" w:rsidR="00000000" w:rsidRPr="00000000">
        <w:rPr>
          <w:rtl w:val="0"/>
        </w:rPr>
      </w:r>
    </w:p>
    <w:tbl>
      <w:tblPr>
        <w:tblStyle w:val="Table15"/>
        <w:tblW w:w="8670.0" w:type="dxa"/>
        <w:jc w:val="left"/>
        <w:tblLayout w:type="fixed"/>
        <w:tblLook w:val="0400"/>
      </w:tblPr>
      <w:tblGrid>
        <w:gridCol w:w="2489"/>
        <w:gridCol w:w="1913"/>
        <w:gridCol w:w="1571"/>
        <w:gridCol w:w="2047"/>
        <w:gridCol w:w="650"/>
        <w:tblGridChange w:id="0">
          <w:tblGrid>
            <w:gridCol w:w="2489"/>
            <w:gridCol w:w="1913"/>
            <w:gridCol w:w="1571"/>
            <w:gridCol w:w="2047"/>
            <w:gridCol w:w="650"/>
          </w:tblGrid>
        </w:tblGridChange>
      </w:tblGrid>
      <w:tr>
        <w:trPr>
          <w:cantSplit w:val="0"/>
          <w:trHeight w:val="315" w:hRule="atLeast"/>
          <w:tblHeader w:val="0"/>
        </w:trPr>
        <w:tc>
          <w:tcPr>
            <w:gridSpan w:val="5"/>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90">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3ygebqi" w:id="60"/>
            <w:bookmarkEnd w:id="60"/>
            <w:r w:rsidDel="00000000" w:rsidR="00000000" w:rsidRPr="00000000">
              <w:rPr>
                <w:rFonts w:ascii="Arial" w:cs="Arial" w:eastAsia="Arial" w:hAnsi="Arial"/>
                <w:i w:val="1"/>
                <w:color w:val="0e2841"/>
                <w:sz w:val="20"/>
                <w:szCs w:val="20"/>
                <w:rtl w:val="0"/>
              </w:rPr>
              <w:t xml:space="preserve">Cuadro 15. Ponderación de acuerdo con el rango de población que habla alguna lengua indígena</w:t>
            </w:r>
          </w:p>
        </w:tc>
      </w:tr>
      <w:tr>
        <w:trPr>
          <w:cantSplit w:val="0"/>
          <w:trHeight w:val="31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95">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i w:val="1"/>
                <w:color w:val="0e2841"/>
                <w:sz w:val="20"/>
                <w:szCs w:val="20"/>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96">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97">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RANGO (%)*</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98">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99">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9A">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Sin población indígena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9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9C">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9D">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99,089,381</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39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sz w:val="18"/>
                <w:szCs w:val="18"/>
                <w:rtl w:val="0"/>
              </w:rPr>
              <w:t xml:space="preserve">0.7</w:t>
            </w:r>
            <w:r w:rsidDel="00000000" w:rsidR="00000000" w:rsidRPr="00000000">
              <w:rPr>
                <w:rtl w:val="0"/>
              </w:rPr>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9F">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C. Muy dispersa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A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A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 a 40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A2">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81,333,456</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3A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sz w:val="18"/>
                <w:szCs w:val="18"/>
                <w:rtl w:val="0"/>
              </w:rPr>
              <w:t xml:space="preserve">41.6</w:t>
            </w:r>
            <w:r w:rsidDel="00000000" w:rsidR="00000000" w:rsidRPr="00000000">
              <w:rPr>
                <w:rtl w:val="0"/>
              </w:rPr>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A4">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 Dispersa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A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A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40 a 70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A7">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9,447,369</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3A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sz w:val="18"/>
                <w:szCs w:val="18"/>
                <w:rtl w:val="0"/>
              </w:rPr>
              <w:t xml:space="preserve">4.8</w:t>
            </w:r>
            <w:r w:rsidDel="00000000" w:rsidR="00000000" w:rsidRPr="00000000">
              <w:rPr>
                <w:rtl w:val="0"/>
              </w:rPr>
            </w:r>
          </w:p>
        </w:tc>
      </w:tr>
      <w:tr>
        <w:trPr>
          <w:cantSplit w:val="0"/>
          <w:trHeight w:val="31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A9">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A. Población indígena</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A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A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&gt; 70</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A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6,359,003</w:t>
            </w:r>
          </w:p>
        </w:tc>
        <w:tc>
          <w:tcPr>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14:paraId="000003A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sz w:val="18"/>
                <w:szCs w:val="18"/>
                <w:rtl w:val="0"/>
              </w:rPr>
              <w:t xml:space="preserve">3.3</w:t>
            </w:r>
            <w:r w:rsidDel="00000000" w:rsidR="00000000" w:rsidRPr="00000000">
              <w:rPr>
                <w:rtl w:val="0"/>
              </w:rPr>
            </w:r>
          </w:p>
        </w:tc>
      </w:tr>
      <w:tr>
        <w:trPr>
          <w:cantSplit w:val="0"/>
          <w:trHeight w:val="315" w:hRule="atLeast"/>
          <w:tblHeader w:val="0"/>
        </w:trPr>
        <w:tc>
          <w:tcPr>
            <w:gridSpan w:val="3"/>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AE">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B1">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B2">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315" w:hRule="atLeast"/>
          <w:tblHeader w:val="0"/>
        </w:trPr>
        <w:tc>
          <w:tcPr>
            <w:gridSpan w:val="5"/>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B3">
            <w:pPr>
              <w:spacing w:after="0" w:line="240" w:lineRule="auto"/>
              <w:jc w:val="both"/>
              <w:rPr>
                <w:rFonts w:ascii="Arial" w:cs="Arial" w:eastAsia="Arial" w:hAnsi="Arial"/>
                <w:i w:val="1"/>
                <w:color w:val="000000"/>
                <w:sz w:val="14"/>
                <w:szCs w:val="14"/>
              </w:rPr>
            </w:pPr>
            <w:r w:rsidDel="00000000" w:rsidR="00000000" w:rsidRPr="00000000">
              <w:rPr>
                <w:rFonts w:ascii="Arial" w:cs="Arial" w:eastAsia="Arial" w:hAnsi="Arial"/>
                <w:i w:val="1"/>
                <w:color w:val="000000"/>
                <w:sz w:val="14"/>
                <w:szCs w:val="14"/>
                <w:rtl w:val="0"/>
              </w:rPr>
              <w:t xml:space="preserve">Porcentaje de población indígena de 3 años y más que habla alguna lengua indígena respecto a la población total (INEGI, 2020)</w:t>
            </w:r>
          </w:p>
        </w:tc>
      </w:tr>
    </w:tbl>
    <w:p w:rsidR="00000000" w:rsidDel="00000000" w:rsidP="00000000" w:rsidRDefault="00000000" w:rsidRPr="00000000" w14:paraId="000003B8">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3B9">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0461" cy="3967478"/>
            <wp:effectExtent b="0" l="0" r="0" t="0"/>
            <wp:docPr id="2101763754" name="image32.png"/>
            <a:graphic>
              <a:graphicData uri="http://schemas.openxmlformats.org/drawingml/2006/picture">
                <pic:pic>
                  <pic:nvPicPr>
                    <pic:cNvPr id="0" name="image32.png"/>
                    <pic:cNvPicPr preferRelativeResize="0"/>
                  </pic:nvPicPr>
                  <pic:blipFill>
                    <a:blip r:embed="rId32"/>
                    <a:srcRect b="0" l="0" r="0" t="0"/>
                    <a:stretch>
                      <a:fillRect/>
                    </a:stretch>
                  </pic:blipFill>
                  <pic:spPr>
                    <a:xfrm>
                      <a:off x="0" y="0"/>
                      <a:ext cx="5610461" cy="3967478"/>
                    </a:xfrm>
                    <a:prstGeom prst="rect"/>
                    <a:ln/>
                  </pic:spPr>
                </pic:pic>
              </a:graphicData>
            </a:graphic>
          </wp:inline>
        </w:drawing>
      </w:r>
      <w:r w:rsidDel="00000000" w:rsidR="00000000" w:rsidRPr="00000000">
        <w:rPr>
          <w:rtl w:val="0"/>
        </w:rPr>
      </w:r>
    </w:p>
    <w:p w:rsidR="00000000" w:rsidDel="00000000" w:rsidP="00000000" w:rsidRDefault="00000000" w:rsidRPr="00000000" w14:paraId="000003BA">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17. Variable 8: Población indígena a nivel municipal, criterio sociocultural del componente valor.</w:t>
      </w:r>
    </w:p>
    <w:p w:rsidR="00000000" w:rsidDel="00000000" w:rsidP="00000000" w:rsidRDefault="00000000" w:rsidRPr="00000000" w14:paraId="000003BB">
      <w:pPr>
        <w:pStyle w:val="Heading3"/>
        <w:rPr>
          <w:rFonts w:ascii="Arial" w:cs="Arial" w:eastAsia="Arial" w:hAnsi="Arial"/>
          <w:color w:val="135b42"/>
          <w:sz w:val="22"/>
          <w:szCs w:val="22"/>
        </w:rPr>
      </w:pPr>
      <w:bookmarkStart w:colFirst="0" w:colLast="0" w:name="_heading=h.n2icszaxp8ip" w:id="61"/>
      <w:bookmarkEnd w:id="61"/>
      <w:r w:rsidDel="00000000" w:rsidR="00000000" w:rsidRPr="00000000">
        <w:rPr>
          <w:rFonts w:ascii="Arial" w:cs="Arial" w:eastAsia="Arial" w:hAnsi="Arial"/>
          <w:color w:val="135b42"/>
          <w:sz w:val="22"/>
          <w:szCs w:val="22"/>
          <w:rtl w:val="0"/>
        </w:rPr>
        <w:t xml:space="preserve">Pobreza multidimensional por municipio</w:t>
      </w:r>
    </w:p>
    <w:p w:rsidR="00000000" w:rsidDel="00000000" w:rsidP="00000000" w:rsidRDefault="00000000" w:rsidRPr="00000000" w14:paraId="000003BC">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Su medición se realiza por el Consejo Nacional de Evaluación de la Política de Desarrollo Social (CONEVAL). Esta identifica las encarnaciones municipales, cuya población registra niveles significativos de pobreza multidimensional en las cuales se pretende enfocar las intervenciones de política y desarrollo social (CONEVAL, 2023). </w:t>
      </w:r>
    </w:p>
    <w:p w:rsidR="00000000" w:rsidDel="00000000" w:rsidP="00000000" w:rsidRDefault="00000000" w:rsidRPr="00000000" w14:paraId="000003BD">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Considera 9 criterios que establece la Ley General de Desarrollo Social (BIENESTAR, 2004). Estos engloban 3 aspectos fundamentales: bienestar económico, derechos sociales y contexto territorial, tal y como se muestra en la Figura 18 (CONEVAL, 2021). </w:t>
      </w:r>
    </w:p>
    <w:p w:rsidR="00000000" w:rsidDel="00000000" w:rsidP="00000000" w:rsidRDefault="00000000" w:rsidRPr="00000000" w14:paraId="000003BE">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52891" cy="1397301"/>
            <wp:effectExtent b="0" l="0" r="0" t="0"/>
            <wp:docPr id="2101763755" name="image34.png"/>
            <a:graphic>
              <a:graphicData uri="http://schemas.openxmlformats.org/drawingml/2006/picture">
                <pic:pic>
                  <pic:nvPicPr>
                    <pic:cNvPr id="0" name="image34.png"/>
                    <pic:cNvPicPr preferRelativeResize="0"/>
                  </pic:nvPicPr>
                  <pic:blipFill>
                    <a:blip r:embed="rId33"/>
                    <a:srcRect b="0" l="0" r="0" t="0"/>
                    <a:stretch>
                      <a:fillRect/>
                    </a:stretch>
                  </pic:blipFill>
                  <pic:spPr>
                    <a:xfrm>
                      <a:off x="0" y="0"/>
                      <a:ext cx="5652891" cy="1397301"/>
                    </a:xfrm>
                    <a:prstGeom prst="rect"/>
                    <a:ln/>
                  </pic:spPr>
                </pic:pic>
              </a:graphicData>
            </a:graphic>
          </wp:inline>
        </w:drawing>
      </w:r>
      <w:r w:rsidDel="00000000" w:rsidR="00000000" w:rsidRPr="00000000">
        <w:rPr>
          <w:rtl w:val="0"/>
        </w:rPr>
      </w:r>
    </w:p>
    <w:p w:rsidR="00000000" w:rsidDel="00000000" w:rsidP="00000000" w:rsidRDefault="00000000" w:rsidRPr="00000000" w14:paraId="000003BF">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bookmarkStart w:colFirst="0" w:colLast="0" w:name="_heading=h.3cqmetx" w:id="62"/>
      <w:bookmarkEnd w:id="62"/>
      <w:r w:rsidDel="00000000" w:rsidR="00000000" w:rsidRPr="00000000">
        <w:rPr>
          <w:rFonts w:ascii="Arial" w:cs="Arial" w:eastAsia="Arial" w:hAnsi="Arial"/>
          <w:i w:val="1"/>
          <w:color w:val="0e2841"/>
          <w:sz w:val="20"/>
          <w:szCs w:val="20"/>
          <w:rtl w:val="0"/>
        </w:rPr>
        <w:t xml:space="preserve">Figura 18. Diagrama de los criterios considerados en la determinación de las zonas de atención prioritarias en México. Fuente: Modificada de CONEVAL (2021).</w:t>
      </w:r>
    </w:p>
    <w:p w:rsidR="00000000" w:rsidDel="00000000" w:rsidP="00000000" w:rsidRDefault="00000000" w:rsidRPr="00000000" w14:paraId="000003C0">
      <w:pPr>
        <w:spacing w:befor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De acuerdo con estos criterios, se asignaron los valores para cada categoría en función al rango porcentual de la población en pobreza respecto a la población total del censo en 2020, en las categorías definidas en el Cuadro 16.</w:t>
      </w:r>
    </w:p>
    <w:tbl>
      <w:tblPr>
        <w:tblStyle w:val="Table16"/>
        <w:tblW w:w="8882.0" w:type="dxa"/>
        <w:jc w:val="left"/>
        <w:tblLayout w:type="fixed"/>
        <w:tblLook w:val="0400"/>
      </w:tblPr>
      <w:tblGrid>
        <w:gridCol w:w="1798"/>
        <w:gridCol w:w="2241"/>
        <w:gridCol w:w="1783"/>
        <w:gridCol w:w="2419"/>
        <w:gridCol w:w="641"/>
        <w:tblGridChange w:id="0">
          <w:tblGrid>
            <w:gridCol w:w="1798"/>
            <w:gridCol w:w="2241"/>
            <w:gridCol w:w="1783"/>
            <w:gridCol w:w="2419"/>
            <w:gridCol w:w="641"/>
          </w:tblGrid>
        </w:tblGridChange>
      </w:tblGrid>
      <w:tr>
        <w:trPr>
          <w:cantSplit w:val="0"/>
          <w:trHeight w:val="323" w:hRule="atLeast"/>
          <w:tblHeader w:val="0"/>
        </w:trPr>
        <w:tc>
          <w:tcPr>
            <w:gridSpan w:val="5"/>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C1">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1rvwp1q" w:id="63"/>
            <w:bookmarkEnd w:id="63"/>
            <w:r w:rsidDel="00000000" w:rsidR="00000000" w:rsidRPr="00000000">
              <w:rPr>
                <w:rFonts w:ascii="Arial" w:cs="Arial" w:eastAsia="Arial" w:hAnsi="Arial"/>
                <w:i w:val="1"/>
                <w:color w:val="0e2841"/>
                <w:sz w:val="20"/>
                <w:szCs w:val="20"/>
                <w:rtl w:val="0"/>
              </w:rPr>
              <w:t xml:space="preserve">Cuadro 16. Ponderación de acuerdo con el rango de pobreza poblacional en el 2020.</w:t>
            </w:r>
          </w:p>
        </w:tc>
      </w:tr>
      <w:tr>
        <w:trPr>
          <w:cantSplit w:val="0"/>
          <w:trHeight w:val="323"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C6">
            <w:pPr>
              <w:spacing w:after="0" w:line="240" w:lineRule="auto"/>
              <w:jc w:val="center"/>
              <w:rPr>
                <w:rFonts w:ascii="Arial" w:cs="Arial" w:eastAsia="Arial" w:hAnsi="Arial"/>
                <w:b w:val="1"/>
                <w:color w:val="000000"/>
                <w:sz w:val="18"/>
                <w:szCs w:val="18"/>
              </w:rPr>
            </w:pPr>
            <w:bookmarkStart w:colFirst="0" w:colLast="0" w:name="_heading=h.4bvk7pj" w:id="64"/>
            <w:bookmarkEnd w:id="64"/>
            <w:r w:rsidDel="00000000" w:rsidR="00000000" w:rsidRPr="00000000">
              <w:rPr>
                <w:rFonts w:ascii="Arial" w:cs="Arial" w:eastAsia="Arial" w:hAnsi="Arial"/>
                <w:b w:val="1"/>
                <w:sz w:val="18"/>
                <w:szCs w:val="18"/>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C7">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C8">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RANGO (%)*</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C9">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CA">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323"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CB">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Sin datos</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CC">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C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CE">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2,174,915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C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1.1</w:t>
            </w:r>
          </w:p>
        </w:tc>
      </w:tr>
      <w:tr>
        <w:trPr>
          <w:cantSplit w:val="0"/>
          <w:trHeight w:val="323"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D0">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Bajo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D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D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&lt; 33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D3">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54,617,145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D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27.8</w:t>
            </w:r>
          </w:p>
        </w:tc>
      </w:tr>
      <w:tr>
        <w:trPr>
          <w:cantSplit w:val="0"/>
          <w:trHeight w:val="323"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D5">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Medio</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D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D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33 a 66</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D8">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96,758,464</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D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49.3</w:t>
            </w:r>
          </w:p>
        </w:tc>
      </w:tr>
      <w:tr>
        <w:trPr>
          <w:cantSplit w:val="0"/>
          <w:trHeight w:val="323" w:hRule="atLeast"/>
          <w:tblHeader w:val="0"/>
        </w:trPr>
        <w:tc>
          <w:tcPr>
            <w:gridSpan w:val="3"/>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DA">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DD">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DE">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323" w:hRule="atLeast"/>
          <w:tblHeader w:val="0"/>
        </w:trPr>
        <w:tc>
          <w:tcPr>
            <w:gridSpan w:val="5"/>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DF">
            <w:pPr>
              <w:spacing w:after="0" w:line="240" w:lineRule="auto"/>
              <w:rPr>
                <w:rFonts w:ascii="Arial" w:cs="Arial" w:eastAsia="Arial" w:hAnsi="Arial"/>
                <w:i w:val="1"/>
                <w:color w:val="000000"/>
                <w:sz w:val="14"/>
                <w:szCs w:val="14"/>
              </w:rPr>
            </w:pPr>
            <w:r w:rsidDel="00000000" w:rsidR="00000000" w:rsidRPr="00000000">
              <w:rPr>
                <w:rFonts w:ascii="Arial" w:cs="Arial" w:eastAsia="Arial" w:hAnsi="Arial"/>
                <w:i w:val="1"/>
                <w:color w:val="000000"/>
                <w:sz w:val="14"/>
                <w:szCs w:val="14"/>
                <w:rtl w:val="0"/>
              </w:rPr>
              <w:t xml:space="preserve">Porcentaje de población en pobreza respecto a la población total (CONEVAL, 2023).</w:t>
            </w:r>
          </w:p>
        </w:tc>
      </w:tr>
    </w:tbl>
    <w:p w:rsidR="00000000" w:rsidDel="00000000" w:rsidP="00000000" w:rsidRDefault="00000000" w:rsidRPr="00000000" w14:paraId="000003E4">
      <w:pPr>
        <w:spacing w:after="0" w:lineRule="auto"/>
        <w:jc w:val="center"/>
        <w:rPr>
          <w:rFonts w:ascii="Arial" w:cs="Arial" w:eastAsia="Arial" w:hAnsi="Arial"/>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512445</wp:posOffset>
            </wp:positionH>
            <wp:positionV relativeFrom="paragraph">
              <wp:posOffset>635</wp:posOffset>
            </wp:positionV>
            <wp:extent cx="4586033" cy="3077322"/>
            <wp:effectExtent b="0" l="0" r="0" t="0"/>
            <wp:wrapSquare wrapText="bothSides" distB="0" distT="0" distL="114300" distR="114300"/>
            <wp:docPr id="2101763734" name="image13.png"/>
            <a:graphic>
              <a:graphicData uri="http://schemas.openxmlformats.org/drawingml/2006/picture">
                <pic:pic>
                  <pic:nvPicPr>
                    <pic:cNvPr id="0" name="image13.png"/>
                    <pic:cNvPicPr preferRelativeResize="0"/>
                  </pic:nvPicPr>
                  <pic:blipFill>
                    <a:blip r:embed="rId34"/>
                    <a:srcRect b="2862" l="0" r="0" t="2247"/>
                    <a:stretch>
                      <a:fillRect/>
                    </a:stretch>
                  </pic:blipFill>
                  <pic:spPr>
                    <a:xfrm>
                      <a:off x="0" y="0"/>
                      <a:ext cx="4586033" cy="3077322"/>
                    </a:xfrm>
                    <a:prstGeom prst="rect"/>
                    <a:ln/>
                  </pic:spPr>
                </pic:pic>
              </a:graphicData>
            </a:graphic>
          </wp:anchor>
        </w:drawing>
      </w:r>
    </w:p>
    <w:p w:rsidR="00000000" w:rsidDel="00000000" w:rsidP="00000000" w:rsidRDefault="00000000" w:rsidRPr="00000000" w14:paraId="000003E5">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E6">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E7">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E8">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E9">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EA">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EB">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EC">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ED">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EE">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EF">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F0">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F1">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F2">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F3">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F4">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F5">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20"/>
          <w:szCs w:val="20"/>
        </w:rPr>
      </w:pPr>
      <w:r w:rsidDel="00000000" w:rsidR="00000000" w:rsidRPr="00000000">
        <w:rPr>
          <w:rtl w:val="0"/>
        </w:rPr>
      </w:r>
    </w:p>
    <w:p w:rsidR="00000000" w:rsidDel="00000000" w:rsidP="00000000" w:rsidRDefault="00000000" w:rsidRPr="00000000" w14:paraId="000003F6">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e2841"/>
          <w:sz w:val="14"/>
          <w:szCs w:val="14"/>
        </w:rPr>
      </w:pPr>
      <w:r w:rsidDel="00000000" w:rsidR="00000000" w:rsidRPr="00000000">
        <w:rPr>
          <w:rFonts w:ascii="Arial" w:cs="Arial" w:eastAsia="Arial" w:hAnsi="Arial"/>
          <w:i w:val="1"/>
          <w:color w:val="0e2841"/>
          <w:sz w:val="20"/>
          <w:szCs w:val="20"/>
          <w:rtl w:val="0"/>
        </w:rPr>
        <w:t xml:space="preserve">Figura 19. Variable 9: Pobreza multidimensional a nivel municipal, criterio sociocultural del componente valor.</w:t>
      </w:r>
      <w:r w:rsidDel="00000000" w:rsidR="00000000" w:rsidRPr="00000000">
        <w:rPr>
          <w:rtl w:val="0"/>
        </w:rPr>
      </w:r>
    </w:p>
    <w:p w:rsidR="00000000" w:rsidDel="00000000" w:rsidP="00000000" w:rsidRDefault="00000000" w:rsidRPr="00000000" w14:paraId="000003F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3F8">
      <w:pPr>
        <w:pStyle w:val="Heading3"/>
        <w:rPr>
          <w:rFonts w:ascii="Arial" w:cs="Arial" w:eastAsia="Arial" w:hAnsi="Arial"/>
          <w:color w:val="135b42"/>
          <w:sz w:val="22"/>
          <w:szCs w:val="22"/>
        </w:rPr>
      </w:pPr>
      <w:bookmarkStart w:colFirst="0" w:colLast="0" w:name="_heading=h.7drbyacb9z7u" w:id="65"/>
      <w:bookmarkEnd w:id="65"/>
      <w:r w:rsidDel="00000000" w:rsidR="00000000" w:rsidRPr="00000000">
        <w:rPr>
          <w:rFonts w:ascii="Arial" w:cs="Arial" w:eastAsia="Arial" w:hAnsi="Arial"/>
          <w:color w:val="135b42"/>
          <w:sz w:val="22"/>
          <w:szCs w:val="22"/>
          <w:rtl w:val="0"/>
        </w:rPr>
        <w:t xml:space="preserve">Incidencia delictiva por municipio. </w:t>
      </w:r>
    </w:p>
    <w:p w:rsidR="00000000" w:rsidDel="00000000" w:rsidP="00000000" w:rsidRDefault="00000000" w:rsidRPr="00000000" w14:paraId="000003F9">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 obtuvieron los datos de las cifras de incidencia delictiva municipal durante el periodo de 2019 a 2023, publicados por el Secretariado Ejecutivo del Sistema Nacional de Seguridad Pública (SESNSP, 2024). La incidencia delictiva considera cualquier acción que atente contra la vida, integridad corporal, libertad y seguridad de las personas, así como cualquier daño contra la propiedad y el medio ambiente. Se obtuvo porcentaje acumulado de incidentes delictivos para el periodo evaluado y se asignaron las categorías, como se muestra en el Cuadro 17.</w:t>
      </w:r>
    </w:p>
    <w:tbl>
      <w:tblPr>
        <w:tblStyle w:val="Table17"/>
        <w:tblW w:w="8789.0" w:type="dxa"/>
        <w:jc w:val="left"/>
        <w:tblLayout w:type="fixed"/>
        <w:tblLook w:val="0400"/>
      </w:tblPr>
      <w:tblGrid>
        <w:gridCol w:w="1597"/>
        <w:gridCol w:w="2231"/>
        <w:gridCol w:w="1701"/>
        <w:gridCol w:w="2268"/>
        <w:gridCol w:w="992"/>
        <w:tblGridChange w:id="0">
          <w:tblGrid>
            <w:gridCol w:w="1597"/>
            <w:gridCol w:w="2231"/>
            <w:gridCol w:w="1701"/>
            <w:gridCol w:w="2268"/>
            <w:gridCol w:w="992"/>
          </w:tblGrid>
        </w:tblGridChange>
      </w:tblGrid>
      <w:tr>
        <w:trPr>
          <w:cantSplit w:val="0"/>
          <w:trHeight w:val="315" w:hRule="atLeast"/>
          <w:tblHeader w:val="0"/>
        </w:trPr>
        <w:tc>
          <w:tcPr>
            <w:gridSpan w:val="5"/>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FA">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1664s55" w:id="66"/>
            <w:bookmarkEnd w:id="66"/>
            <w:r w:rsidDel="00000000" w:rsidR="00000000" w:rsidRPr="00000000">
              <w:rPr>
                <w:rFonts w:ascii="Arial" w:cs="Arial" w:eastAsia="Arial" w:hAnsi="Arial"/>
                <w:i w:val="1"/>
                <w:color w:val="0e2841"/>
                <w:sz w:val="20"/>
                <w:szCs w:val="20"/>
                <w:rtl w:val="0"/>
              </w:rPr>
              <w:t xml:space="preserve">Cuadro 17. Ponderación de acuerdo con el rango porcentual de incidencia delictiva en México.</w:t>
            </w:r>
          </w:p>
        </w:tc>
      </w:tr>
      <w:tr>
        <w:trPr>
          <w:cantSplit w:val="0"/>
          <w:trHeight w:val="31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FF">
            <w:pPr>
              <w:spacing w:after="0" w:line="240" w:lineRule="auto"/>
              <w:jc w:val="center"/>
              <w:rPr>
                <w:rFonts w:ascii="Arial" w:cs="Arial" w:eastAsia="Arial" w:hAnsi="Arial"/>
                <w:b w:val="1"/>
                <w:color w:val="000000"/>
                <w:sz w:val="18"/>
                <w:szCs w:val="18"/>
              </w:rPr>
            </w:pPr>
            <w:bookmarkStart w:colFirst="0" w:colLast="0" w:name="_heading=h.3q5sasy" w:id="67"/>
            <w:bookmarkEnd w:id="67"/>
            <w:r w:rsidDel="00000000" w:rsidR="00000000" w:rsidRPr="00000000">
              <w:rPr>
                <w:rFonts w:ascii="Arial" w:cs="Arial" w:eastAsia="Arial" w:hAnsi="Arial"/>
                <w:b w:val="1"/>
                <w:sz w:val="18"/>
                <w:szCs w:val="18"/>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00">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01">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RANGO (%)*</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02">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03">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04">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Sin datos</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0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06">
            <w:pPr>
              <w:spacing w:after="0" w:line="240" w:lineRule="auto"/>
              <w:jc w:val="center"/>
              <w:rPr>
                <w:rFonts w:ascii="Arial" w:cs="Arial" w:eastAsia="Arial" w:hAnsi="Arial"/>
                <w:color w:val="000000"/>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07">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1,006,499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0.5</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09">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Bajo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0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0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&lt; 30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0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14,120,437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7.2</w:t>
            </w:r>
          </w:p>
        </w:tc>
      </w:tr>
      <w:tr>
        <w:trPr>
          <w:cantSplit w:val="0"/>
          <w:trHeight w:val="31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0E">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Medio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0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1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30 a 50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11">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170,169,155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1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86.7</w:t>
            </w:r>
          </w:p>
        </w:tc>
      </w:tr>
      <w:tr>
        <w:trPr>
          <w:cantSplit w:val="0"/>
          <w:trHeight w:val="31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13">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Alto</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1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1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&gt; 50</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16">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10,933,118</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1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5.6</w:t>
            </w:r>
          </w:p>
        </w:tc>
      </w:tr>
      <w:tr>
        <w:trPr>
          <w:cantSplit w:val="0"/>
          <w:trHeight w:val="315" w:hRule="atLeast"/>
          <w:tblHeader w:val="0"/>
        </w:trPr>
        <w:tc>
          <w:tcPr>
            <w:gridSpan w:val="3"/>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18">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1B">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1C">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315" w:hRule="atLeast"/>
          <w:tblHeader w:val="0"/>
        </w:trPr>
        <w:tc>
          <w:tcPr>
            <w:gridSpan w:val="5"/>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1D">
            <w:pPr>
              <w:spacing w:after="0" w:line="240" w:lineRule="auto"/>
              <w:rPr>
                <w:rFonts w:ascii="Arial" w:cs="Arial" w:eastAsia="Arial" w:hAnsi="Arial"/>
                <w:i w:val="1"/>
                <w:color w:val="000000"/>
                <w:sz w:val="14"/>
                <w:szCs w:val="14"/>
              </w:rPr>
            </w:pPr>
            <w:r w:rsidDel="00000000" w:rsidR="00000000" w:rsidRPr="00000000">
              <w:rPr>
                <w:rFonts w:ascii="Arial" w:cs="Arial" w:eastAsia="Arial" w:hAnsi="Arial"/>
                <w:i w:val="1"/>
                <w:color w:val="000000"/>
                <w:sz w:val="14"/>
                <w:szCs w:val="14"/>
                <w:rtl w:val="0"/>
              </w:rPr>
              <w:t xml:space="preserve">Porcentaje acumulado de los delitos registrados durante el periodo 2019-2023 (SESNSP, 2024))</w:t>
            </w:r>
          </w:p>
        </w:tc>
      </w:tr>
    </w:tbl>
    <w:p w:rsidR="00000000" w:rsidDel="00000000" w:rsidP="00000000" w:rsidRDefault="00000000" w:rsidRPr="00000000" w14:paraId="00000422">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23">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0461" cy="3967477"/>
            <wp:effectExtent b="0" l="0" r="0" t="0"/>
            <wp:docPr id="2101763725" name="image1.png"/>
            <a:graphic>
              <a:graphicData uri="http://schemas.openxmlformats.org/drawingml/2006/picture">
                <pic:pic>
                  <pic:nvPicPr>
                    <pic:cNvPr id="0" name="image1.png"/>
                    <pic:cNvPicPr preferRelativeResize="0"/>
                  </pic:nvPicPr>
                  <pic:blipFill>
                    <a:blip r:embed="rId35"/>
                    <a:srcRect b="0" l="0" r="0" t="0"/>
                    <a:stretch>
                      <a:fillRect/>
                    </a:stretch>
                  </pic:blipFill>
                  <pic:spPr>
                    <a:xfrm>
                      <a:off x="0" y="0"/>
                      <a:ext cx="5610461" cy="3967477"/>
                    </a:xfrm>
                    <a:prstGeom prst="rect"/>
                    <a:ln/>
                  </pic:spPr>
                </pic:pic>
              </a:graphicData>
            </a:graphic>
          </wp:inline>
        </w:drawing>
      </w:r>
      <w:r w:rsidDel="00000000" w:rsidR="00000000" w:rsidRPr="00000000">
        <w:rPr>
          <w:rtl w:val="0"/>
        </w:rPr>
      </w:r>
    </w:p>
    <w:p w:rsidR="00000000" w:rsidDel="00000000" w:rsidP="00000000" w:rsidRDefault="00000000" w:rsidRPr="00000000" w14:paraId="00000424">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20. Variable 10: Incidencia delictiva a nivel municipal, criterio sociocultural del componente valor.</w:t>
      </w:r>
    </w:p>
    <w:p w:rsidR="00000000" w:rsidDel="00000000" w:rsidP="00000000" w:rsidRDefault="00000000" w:rsidRPr="00000000" w14:paraId="00000425">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26">
      <w:pPr>
        <w:pStyle w:val="Heading3"/>
        <w:rPr>
          <w:rFonts w:ascii="Arial" w:cs="Arial" w:eastAsia="Arial" w:hAnsi="Arial"/>
          <w:b w:val="1"/>
          <w:color w:val="135b42"/>
          <w:sz w:val="22"/>
          <w:szCs w:val="22"/>
        </w:rPr>
      </w:pPr>
      <w:bookmarkStart w:colFirst="0" w:colLast="0" w:name="_heading=h.8f4hd0toidpe" w:id="68"/>
      <w:bookmarkEnd w:id="68"/>
      <w:r w:rsidDel="00000000" w:rsidR="00000000" w:rsidRPr="00000000">
        <w:rPr>
          <w:rFonts w:ascii="Arial" w:cs="Arial" w:eastAsia="Arial" w:hAnsi="Arial"/>
          <w:b w:val="1"/>
          <w:color w:val="135b42"/>
          <w:sz w:val="22"/>
          <w:szCs w:val="22"/>
          <w:rtl w:val="0"/>
        </w:rPr>
        <w:t xml:space="preserve">Mapa del criterio valor-sociocultural.</w:t>
      </w:r>
    </w:p>
    <w:p w:rsidR="00000000" w:rsidDel="00000000" w:rsidP="00000000" w:rsidRDefault="00000000" w:rsidRPr="00000000" w14:paraId="00000427">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Las variables de este criterio se suman, generando un mapa con un rango de valores de 0 a 9, las cuales se reclasifican en 5 categorías, tal como se muestra en el Cuadro 18. </w:t>
      </w:r>
      <w:r w:rsidDel="00000000" w:rsidR="00000000" w:rsidRPr="00000000">
        <w:drawing>
          <wp:anchor allowOverlap="1" behindDoc="0" distB="0" distT="0" distL="114300" distR="114300" hidden="0" layoutInCell="1" locked="0" relativeHeight="0" simplePos="0">
            <wp:simplePos x="0" y="0"/>
            <wp:positionH relativeFrom="column">
              <wp:posOffset>3</wp:posOffset>
            </wp:positionH>
            <wp:positionV relativeFrom="paragraph">
              <wp:posOffset>2258060</wp:posOffset>
            </wp:positionV>
            <wp:extent cx="5734050" cy="4038600"/>
            <wp:effectExtent b="0" l="0" r="0" t="0"/>
            <wp:wrapSquare wrapText="bothSides" distB="0" distT="0" distL="114300" distR="114300"/>
            <wp:docPr id="2101763735" name="image2.png"/>
            <a:graphic>
              <a:graphicData uri="http://schemas.openxmlformats.org/drawingml/2006/picture">
                <pic:pic>
                  <pic:nvPicPr>
                    <pic:cNvPr id="0" name="image2.png"/>
                    <pic:cNvPicPr preferRelativeResize="0"/>
                  </pic:nvPicPr>
                  <pic:blipFill>
                    <a:blip r:embed="rId36"/>
                    <a:srcRect b="0" l="0" r="0" t="0"/>
                    <a:stretch>
                      <a:fillRect/>
                    </a:stretch>
                  </pic:blipFill>
                  <pic:spPr>
                    <a:xfrm>
                      <a:off x="0" y="0"/>
                      <a:ext cx="5734050" cy="4038600"/>
                    </a:xfrm>
                    <a:prstGeom prst="rect"/>
                    <a:ln/>
                  </pic:spPr>
                </pic:pic>
              </a:graphicData>
            </a:graphic>
          </wp:anchor>
        </w:drawing>
      </w:r>
    </w:p>
    <w:tbl>
      <w:tblPr>
        <w:tblStyle w:val="Table18"/>
        <w:tblW w:w="8838.0" w:type="dxa"/>
        <w:jc w:val="left"/>
        <w:tblLayout w:type="fixed"/>
        <w:tblLook w:val="0400"/>
      </w:tblPr>
      <w:tblGrid>
        <w:gridCol w:w="2694"/>
        <w:gridCol w:w="1594"/>
        <w:gridCol w:w="3618"/>
        <w:gridCol w:w="932"/>
        <w:tblGridChange w:id="0">
          <w:tblGrid>
            <w:gridCol w:w="2694"/>
            <w:gridCol w:w="1594"/>
            <w:gridCol w:w="3618"/>
            <w:gridCol w:w="932"/>
          </w:tblGrid>
        </w:tblGridChange>
      </w:tblGrid>
      <w:tr>
        <w:trPr>
          <w:cantSplit w:val="0"/>
          <w:trHeight w:val="285" w:hRule="atLeast"/>
          <w:tblHeader w:val="0"/>
        </w:trPr>
        <w:tc>
          <w:tcPr>
            <w:gridSpan w:val="4"/>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28">
            <w:pPr>
              <w:keepNext w:val="1"/>
              <w:pBdr>
                <w:top w:space="0" w:sz="0" w:val="nil"/>
                <w:left w:space="0" w:sz="0" w:val="nil"/>
                <w:bottom w:space="0" w:sz="0" w:val="nil"/>
                <w:right w:space="0" w:sz="0" w:val="nil"/>
                <w:between w:space="0" w:sz="0" w:val="nil"/>
              </w:pBdr>
              <w:spacing w:after="0" w:before="120" w:line="276" w:lineRule="auto"/>
              <w:jc w:val="center"/>
              <w:rPr>
                <w:rFonts w:ascii="Arial" w:cs="Arial" w:eastAsia="Arial" w:hAnsi="Arial"/>
                <w:i w:val="1"/>
                <w:color w:val="0e2841"/>
                <w:sz w:val="20"/>
                <w:szCs w:val="20"/>
              </w:rPr>
            </w:pPr>
            <w:bookmarkStart w:colFirst="0" w:colLast="0" w:name="_heading=h.kgcv8k" w:id="69"/>
            <w:bookmarkEnd w:id="69"/>
            <w:r w:rsidDel="00000000" w:rsidR="00000000" w:rsidRPr="00000000">
              <w:rPr>
                <w:rFonts w:ascii="Arial" w:cs="Arial" w:eastAsia="Arial" w:hAnsi="Arial"/>
                <w:i w:val="1"/>
                <w:color w:val="0e2841"/>
                <w:sz w:val="20"/>
                <w:szCs w:val="20"/>
                <w:rtl w:val="0"/>
              </w:rPr>
              <w:t xml:space="preserve">Cuadro 18. Ponderación del criterio sociocultural del componente valor.</w:t>
            </w:r>
          </w:p>
        </w:tc>
      </w:tr>
      <w:tr>
        <w:trPr>
          <w:cantSplit w:val="0"/>
          <w:trHeight w:val="28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2C">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sz w:val="18"/>
                <w:szCs w:val="18"/>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2D">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VALOR</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2E">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2F">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30">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 aplica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3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3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1,010,893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3">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0.5</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34">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Muy bajo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3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 a 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3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2,264,554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7">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1.2</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38">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Bajo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3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 a 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3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110,468,809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B">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56.3</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3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Medio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3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 a 6</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3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66,829,154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F">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34.1</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40">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Alto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4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 a 9</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4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15,655,798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3">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8</w:t>
            </w:r>
          </w:p>
        </w:tc>
      </w:tr>
      <w:tr>
        <w:trPr>
          <w:cantSplit w:val="0"/>
          <w:trHeight w:val="285" w:hRule="atLeast"/>
          <w:tblHeader w:val="0"/>
        </w:trPr>
        <w:tc>
          <w:tcPr>
            <w:gridSpan w:val="2"/>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44">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46">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47">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188" w:hRule="atLeast"/>
          <w:tblHeader w:val="0"/>
        </w:trPr>
        <w:tc>
          <w:tcPr>
            <w:gridSpan w:val="4"/>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48">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 </w:t>
            </w:r>
          </w:p>
        </w:tc>
      </w:tr>
    </w:tbl>
    <w:p w:rsidR="00000000" w:rsidDel="00000000" w:rsidP="00000000" w:rsidRDefault="00000000" w:rsidRPr="00000000" w14:paraId="0000044C">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D">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21. Criterio sociocultural del componente valor.</w:t>
      </w:r>
    </w:p>
    <w:p w:rsidR="00000000" w:rsidDel="00000000" w:rsidP="00000000" w:rsidRDefault="00000000" w:rsidRPr="00000000" w14:paraId="0000044E">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44F">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450">
      <w:pPr>
        <w:pStyle w:val="Heading2"/>
        <w:rPr>
          <w:b w:val="1"/>
          <w:color w:val="135b42"/>
          <w:sz w:val="22"/>
          <w:szCs w:val="22"/>
        </w:rPr>
      </w:pPr>
      <w:bookmarkStart w:colFirst="0" w:colLast="0" w:name="_heading=h.9g7egi44zgl6" w:id="70"/>
      <w:bookmarkEnd w:id="70"/>
      <w:r w:rsidDel="00000000" w:rsidR="00000000" w:rsidRPr="00000000">
        <w:rPr>
          <w:b w:val="1"/>
          <w:color w:val="135b42"/>
          <w:sz w:val="22"/>
          <w:szCs w:val="22"/>
          <w:rtl w:val="0"/>
        </w:rPr>
        <w:t xml:space="preserve">Criterio valor-económico.</w:t>
      </w:r>
    </w:p>
    <w:p w:rsidR="00000000" w:rsidDel="00000000" w:rsidP="00000000" w:rsidRDefault="00000000" w:rsidRPr="00000000" w14:paraId="00000451">
      <w:pPr>
        <w:jc w:val="both"/>
        <w:rPr>
          <w:rFonts w:ascii="Arial" w:cs="Arial" w:eastAsia="Arial" w:hAnsi="Arial"/>
          <w:b w:val="1"/>
          <w:sz w:val="20"/>
          <w:szCs w:val="20"/>
        </w:rPr>
      </w:pPr>
      <w:r w:rsidDel="00000000" w:rsidR="00000000" w:rsidRPr="00000000">
        <w:rPr>
          <w:rFonts w:ascii="Arial" w:cs="Arial" w:eastAsia="Arial" w:hAnsi="Arial"/>
          <w:sz w:val="20"/>
          <w:szCs w:val="20"/>
          <w:rtl w:val="0"/>
        </w:rPr>
        <w:t xml:space="preserve">Considera el potencial económico de una zona forestal, tomando en cuenta dos variables que influyen en la sustentabilidad y aprovechamiento de los recursos forestales. Esto incluye información sobre los predios que tienen autorización para el manejo forestal maderable y no maderable, así como aquellos certificados bajo normas de buenas prácticas nacionales e internacionales. Además, se considera el tipo de vegetación en los predios bajo aprovechamiento forestal. </w:t>
      </w:r>
      <w:r w:rsidDel="00000000" w:rsidR="00000000" w:rsidRPr="00000000">
        <w:rPr>
          <w:rtl w:val="0"/>
        </w:rPr>
      </w:r>
    </w:p>
    <w:p w:rsidR="00000000" w:rsidDel="00000000" w:rsidP="00000000" w:rsidRDefault="00000000" w:rsidRPr="00000000" w14:paraId="00000452">
      <w:pPr>
        <w:pStyle w:val="Heading3"/>
        <w:rPr>
          <w:rFonts w:ascii="Arial" w:cs="Arial" w:eastAsia="Arial" w:hAnsi="Arial"/>
          <w:color w:val="135b42"/>
          <w:sz w:val="22"/>
          <w:szCs w:val="22"/>
        </w:rPr>
      </w:pPr>
      <w:bookmarkStart w:colFirst="0" w:colLast="0" w:name="_heading=h.59o53u5i4ihn" w:id="71"/>
      <w:bookmarkEnd w:id="71"/>
      <w:r w:rsidDel="00000000" w:rsidR="00000000" w:rsidRPr="00000000">
        <w:rPr>
          <w:rFonts w:ascii="Arial" w:cs="Arial" w:eastAsia="Arial" w:hAnsi="Arial"/>
          <w:color w:val="135b42"/>
          <w:sz w:val="22"/>
          <w:szCs w:val="22"/>
          <w:rtl w:val="0"/>
        </w:rPr>
        <w:t xml:space="preserve">Predios bajo manejo forestal sustentable 2013-2024.</w:t>
      </w:r>
    </w:p>
    <w:p w:rsidR="00000000" w:rsidDel="00000000" w:rsidP="00000000" w:rsidRDefault="00000000" w:rsidRPr="00000000" w14:paraId="00000453">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 obtuvo la información de los predios que cuentan con autorización para el aprovechamiento forestal maderable y no maderable en sus tres tipos de apoyo que brinda la CONAFOR (2024b): PMFM: Programa de Manejo Forestal Maderable, DTU: Documento Técnico Unificado de Aprovechamiento Forestal Maderable, ETJ: Estudio Técnico para el Aprovechamiento de Recursos Forestales No Maderables. </w:t>
      </w:r>
    </w:p>
    <w:p w:rsidR="00000000" w:rsidDel="00000000" w:rsidP="00000000" w:rsidRDefault="00000000" w:rsidRPr="00000000" w14:paraId="00000454">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Así mismo se tomó en cuenta la superficie certificada bajo algún instrumento de certificación forestal, tales como la Auditoría Técnica Preventiva (ATP), la Norma Mexicana NMX-AA-143-SCFI-2015 (NMX) y la</w:t>
      </w:r>
      <w:r w:rsidDel="00000000" w:rsidR="00000000" w:rsidRPr="00000000">
        <w:rPr>
          <w:rFonts w:ascii="Arial" w:cs="Arial" w:eastAsia="Arial" w:hAnsi="Arial"/>
          <w:i w:val="1"/>
          <w:sz w:val="20"/>
          <w:szCs w:val="20"/>
          <w:rtl w:val="0"/>
        </w:rPr>
        <w:t xml:space="preserve"> Certificación del Forest Stewardship Council </w:t>
      </w:r>
      <w:r w:rsidDel="00000000" w:rsidR="00000000" w:rsidRPr="00000000">
        <w:rPr>
          <w:rFonts w:ascii="Arial" w:cs="Arial" w:eastAsia="Arial" w:hAnsi="Arial"/>
          <w:sz w:val="20"/>
          <w:szCs w:val="20"/>
          <w:rtl w:val="0"/>
        </w:rPr>
        <w:t xml:space="preserve">(FSC); las cuales garantizan el manejo sustentable de los recursos forestales bajo criterios de buenas prácticas nacionales e internacionales. La CONAFOR ofrece apoyos en los que se financia este tipo de certificaciones a los predios bajo aprovechamiento (CONAFOR, 2024c). Se definieron 3 categorías, las cuales se hacen en función de la superficie autorizada de aprovechamiento desde 2013 hasta junio 2024, tal como se muestra en el Cuadro Cuadro 19.</w:t>
      </w:r>
    </w:p>
    <w:tbl>
      <w:tblPr>
        <w:tblStyle w:val="Table19"/>
        <w:tblW w:w="8837.0" w:type="dxa"/>
        <w:jc w:val="left"/>
        <w:tblLayout w:type="fixed"/>
        <w:tblLook w:val="0400"/>
      </w:tblPr>
      <w:tblGrid>
        <w:gridCol w:w="3828"/>
        <w:gridCol w:w="1677"/>
        <w:gridCol w:w="2653"/>
        <w:gridCol w:w="679"/>
        <w:tblGridChange w:id="0">
          <w:tblGrid>
            <w:gridCol w:w="3828"/>
            <w:gridCol w:w="1677"/>
            <w:gridCol w:w="2653"/>
            <w:gridCol w:w="679"/>
          </w:tblGrid>
        </w:tblGridChange>
      </w:tblGrid>
      <w:tr>
        <w:trPr>
          <w:cantSplit w:val="0"/>
          <w:trHeight w:val="270" w:hRule="atLeast"/>
          <w:tblHeader w:val="0"/>
        </w:trPr>
        <w:tc>
          <w:tcPr>
            <w:gridSpan w:val="4"/>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55">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00000"/>
                <w:sz w:val="18"/>
                <w:szCs w:val="18"/>
              </w:rPr>
            </w:pPr>
            <w:bookmarkStart w:colFirst="0" w:colLast="0" w:name="_heading=h.43ky6rz" w:id="72"/>
            <w:bookmarkEnd w:id="72"/>
            <w:r w:rsidDel="00000000" w:rsidR="00000000" w:rsidRPr="00000000">
              <w:rPr>
                <w:rFonts w:ascii="Arial" w:cs="Arial" w:eastAsia="Arial" w:hAnsi="Arial"/>
                <w:i w:val="1"/>
                <w:color w:val="000000"/>
                <w:sz w:val="20"/>
                <w:szCs w:val="20"/>
                <w:rtl w:val="0"/>
              </w:rPr>
              <w:t xml:space="preserve">Cuadro 19. Ponderación de acuerdo con el tipo de aprovechamiento en cada predio de México.</w:t>
            </w:r>
            <w:r w:rsidDel="00000000" w:rsidR="00000000" w:rsidRPr="00000000">
              <w:rPr>
                <w:rtl w:val="0"/>
              </w:rPr>
            </w:r>
          </w:p>
        </w:tc>
      </w:tr>
      <w:tr>
        <w:trPr>
          <w:cantSplit w:val="0"/>
          <w:trHeight w:val="31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59">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sz w:val="18"/>
                <w:szCs w:val="18"/>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5A">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5B">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5C">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34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5D">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Sin manejo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5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5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180,085,195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6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91.8</w:t>
            </w:r>
          </w:p>
        </w:tc>
      </w:tr>
      <w:tr>
        <w:trPr>
          <w:cantSplit w:val="0"/>
          <w:trHeight w:val="34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61">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Predios bajo manejo forestal</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6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6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13,687,231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6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7.0</w:t>
            </w:r>
          </w:p>
        </w:tc>
      </w:tr>
      <w:tr>
        <w:trPr>
          <w:cantSplit w:val="0"/>
          <w:trHeight w:val="340"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65">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Predios certificados y bajo manejo forestal</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6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6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2,456,783</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6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1.3</w:t>
            </w:r>
          </w:p>
        </w:tc>
      </w:tr>
      <w:tr>
        <w:trPr>
          <w:cantSplit w:val="0"/>
          <w:trHeight w:val="315" w:hRule="atLeast"/>
          <w:tblHeader w:val="0"/>
        </w:trPr>
        <w:tc>
          <w:tcPr>
            <w:gridSpan w:val="2"/>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69">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6B">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6C">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340" w:hRule="atLeast"/>
          <w:tblHeader w:val="0"/>
        </w:trPr>
        <w:tc>
          <w:tcPr>
            <w:gridSpan w:val="4"/>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6D">
            <w:pPr>
              <w:spacing w:after="0" w:line="240" w:lineRule="auto"/>
              <w:rPr>
                <w:rFonts w:ascii="Arial" w:cs="Arial" w:eastAsia="Arial" w:hAnsi="Arial"/>
                <w:i w:val="1"/>
                <w:color w:val="000000"/>
                <w:sz w:val="14"/>
                <w:szCs w:val="14"/>
              </w:rPr>
            </w:pPr>
            <w:r w:rsidDel="00000000" w:rsidR="00000000" w:rsidRPr="00000000">
              <w:rPr>
                <w:rFonts w:ascii="Arial" w:cs="Arial" w:eastAsia="Arial" w:hAnsi="Arial"/>
                <w:i w:val="1"/>
                <w:color w:val="000000"/>
                <w:sz w:val="14"/>
                <w:szCs w:val="14"/>
                <w:rtl w:val="0"/>
              </w:rPr>
              <w:t xml:space="preserve">Datos adquiridos de los apoyos otorgados por la CONAFOR de 2013 a 2024 (CONAFOR, 2024)</w:t>
            </w:r>
          </w:p>
        </w:tc>
      </w:tr>
    </w:tbl>
    <w:p w:rsidR="00000000" w:rsidDel="00000000" w:rsidP="00000000" w:rsidRDefault="00000000" w:rsidRPr="00000000" w14:paraId="00000471">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4854598" cy="3432964"/>
            <wp:effectExtent b="0" l="0" r="0" t="0"/>
            <wp:docPr id="2101763726" name="image17.png"/>
            <a:graphic>
              <a:graphicData uri="http://schemas.openxmlformats.org/drawingml/2006/picture">
                <pic:pic>
                  <pic:nvPicPr>
                    <pic:cNvPr id="0" name="image17.png"/>
                    <pic:cNvPicPr preferRelativeResize="0"/>
                  </pic:nvPicPr>
                  <pic:blipFill>
                    <a:blip r:embed="rId37"/>
                    <a:srcRect b="0" l="0" r="0" t="0"/>
                    <a:stretch>
                      <a:fillRect/>
                    </a:stretch>
                  </pic:blipFill>
                  <pic:spPr>
                    <a:xfrm>
                      <a:off x="0" y="0"/>
                      <a:ext cx="4854598" cy="3432964"/>
                    </a:xfrm>
                    <a:prstGeom prst="rect"/>
                    <a:ln/>
                  </pic:spPr>
                </pic:pic>
              </a:graphicData>
            </a:graphic>
          </wp:inline>
        </w:drawing>
      </w:r>
      <w:r w:rsidDel="00000000" w:rsidR="00000000" w:rsidRPr="00000000">
        <w:rPr>
          <w:rtl w:val="0"/>
        </w:rPr>
      </w:r>
    </w:p>
    <w:p w:rsidR="00000000" w:rsidDel="00000000" w:rsidP="00000000" w:rsidRDefault="00000000" w:rsidRPr="00000000" w14:paraId="00000472">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22. Variable 11: Predios bajo manejo forestal, criterio económico del componente valor.</w:t>
      </w:r>
    </w:p>
    <w:p w:rsidR="00000000" w:rsidDel="00000000" w:rsidP="00000000" w:rsidRDefault="00000000" w:rsidRPr="00000000" w14:paraId="00000473">
      <w:pPr>
        <w:pStyle w:val="Heading3"/>
        <w:rPr>
          <w:rFonts w:ascii="Arial" w:cs="Arial" w:eastAsia="Arial" w:hAnsi="Arial"/>
          <w:color w:val="135b42"/>
          <w:sz w:val="22"/>
          <w:szCs w:val="22"/>
        </w:rPr>
      </w:pPr>
      <w:bookmarkStart w:colFirst="0" w:colLast="0" w:name="_heading=h.p12ukao8ystz" w:id="73"/>
      <w:bookmarkEnd w:id="73"/>
      <w:r w:rsidDel="00000000" w:rsidR="00000000" w:rsidRPr="00000000">
        <w:rPr>
          <w:rFonts w:ascii="Arial" w:cs="Arial" w:eastAsia="Arial" w:hAnsi="Arial"/>
          <w:color w:val="135b42"/>
          <w:sz w:val="22"/>
          <w:szCs w:val="22"/>
          <w:rtl w:val="0"/>
        </w:rPr>
        <w:t xml:space="preserve">Importancia económica por tipo de vegetación.</w:t>
      </w:r>
    </w:p>
    <w:p w:rsidR="00000000" w:rsidDel="00000000" w:rsidP="00000000" w:rsidRDefault="00000000" w:rsidRPr="00000000" w14:paraId="00000474">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Esta variable se incluyó para considerar el daño potencial a los recursos forestales, ponderando por tipo de vegetación. Esto se representó cuantificando espacialmente la proporción de la superficie de los píxeles que intersecan los predios bajo aprovechamiento forestal. La capa empleada para determinar el tipo de vegetación fue la propuesta por la CONABIO (2018), la cual determina 31 coberturas de uso de suelo con imágenes de mediana resolución, particularmente de la plataforma Sentinel 2, que cuenta con un sensor multiespectral de mediana resolución (</w:t>
      </w:r>
      <w:r w:rsidDel="00000000" w:rsidR="00000000" w:rsidRPr="00000000">
        <w:rPr>
          <w:rFonts w:ascii="Arial" w:cs="Arial" w:eastAsia="Arial" w:hAnsi="Arial"/>
          <w:i w:val="1"/>
          <w:sz w:val="20"/>
          <w:szCs w:val="20"/>
          <w:rtl w:val="0"/>
        </w:rPr>
        <w:t xml:space="preserve">MSI: Multispectral Sensor Instrument</w:t>
      </w:r>
      <w:r w:rsidDel="00000000" w:rsidR="00000000" w:rsidRPr="00000000">
        <w:rPr>
          <w:rFonts w:ascii="Arial" w:cs="Arial" w:eastAsia="Arial" w:hAnsi="Arial"/>
          <w:sz w:val="20"/>
          <w:szCs w:val="20"/>
          <w:rtl w:val="0"/>
        </w:rPr>
        <w:t xml:space="preserve">) (ESA, 2015). Asimismo, se consideraron datos del inventario forestal (CONAFOR, 2017). Se asignó mayor valor a los tipos de vegetación que registraron mayor superficie con permiso de aprovechamiento forestal, reclasificando en tres categorías, definidas en el Cuadro 20. </w:t>
      </w:r>
    </w:p>
    <w:tbl>
      <w:tblPr>
        <w:tblStyle w:val="Table20"/>
        <w:tblW w:w="8838.0" w:type="dxa"/>
        <w:jc w:val="left"/>
        <w:tblLayout w:type="fixed"/>
        <w:tblLook w:val="0400"/>
      </w:tblPr>
      <w:tblGrid>
        <w:gridCol w:w="1560"/>
        <w:gridCol w:w="1842"/>
        <w:gridCol w:w="3261"/>
        <w:gridCol w:w="1417"/>
        <w:gridCol w:w="758"/>
        <w:tblGridChange w:id="0">
          <w:tblGrid>
            <w:gridCol w:w="1560"/>
            <w:gridCol w:w="1842"/>
            <w:gridCol w:w="3261"/>
            <w:gridCol w:w="1417"/>
            <w:gridCol w:w="758"/>
          </w:tblGrid>
        </w:tblGridChange>
      </w:tblGrid>
      <w:tr>
        <w:trPr>
          <w:cantSplit w:val="0"/>
          <w:trHeight w:val="170" w:hRule="atLeast"/>
          <w:tblHeader w:val="0"/>
        </w:trPr>
        <w:tc>
          <w:tcPr>
            <w:gridSpan w:val="5"/>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75">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00000"/>
                <w:sz w:val="18"/>
                <w:szCs w:val="18"/>
              </w:rPr>
            </w:pPr>
            <w:bookmarkStart w:colFirst="0" w:colLast="0" w:name="_heading=h.xvir7l" w:id="74"/>
            <w:bookmarkEnd w:id="74"/>
            <w:r w:rsidDel="00000000" w:rsidR="00000000" w:rsidRPr="00000000">
              <w:rPr>
                <w:rFonts w:ascii="Arial" w:cs="Arial" w:eastAsia="Arial" w:hAnsi="Arial"/>
                <w:i w:val="1"/>
                <w:color w:val="0e2841"/>
                <w:sz w:val="20"/>
                <w:szCs w:val="20"/>
                <w:rtl w:val="0"/>
              </w:rPr>
              <w:t xml:space="preserve">Cuadro 20. Ponderación de acuerdo con tipo de vegetación en México.</w:t>
            </w:r>
            <w:r w:rsidDel="00000000" w:rsidR="00000000" w:rsidRPr="00000000">
              <w:rPr>
                <w:rtl w:val="0"/>
              </w:rPr>
            </w:r>
          </w:p>
        </w:tc>
      </w:tr>
      <w:tr>
        <w:trPr>
          <w:cantSplit w:val="0"/>
          <w:trHeight w:val="170"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7A">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sz w:val="18"/>
                <w:szCs w:val="18"/>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7B">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7C">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TIPOS DE VEGETACIÓN*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7D">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7E">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1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7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 aplica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8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8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Zonas no forestales</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8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43,060,214</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8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21.9</w:t>
            </w:r>
          </w:p>
        </w:tc>
      </w:tr>
      <w:tr>
        <w:trPr>
          <w:cantSplit w:val="0"/>
          <w:trHeight w:val="1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8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Bajo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8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8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MAC, MAE, MAP, MRC, MSC, POP, PAZ, SAS, TUL, VDC, VHH</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8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8,599,905</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8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4.4</w:t>
            </w:r>
          </w:p>
        </w:tc>
      </w:tr>
      <w:tr>
        <w:trPr>
          <w:cantSplit w:val="0"/>
          <w:trHeight w:val="1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8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Medio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8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8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BCO, CHA, MAS, MES, MSC, SBP, SMC, VDA, VHX</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8C">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24,464,131</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8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12.5</w:t>
            </w:r>
          </w:p>
        </w:tc>
      </w:tr>
      <w:tr>
        <w:trPr>
          <w:cantSplit w:val="0"/>
          <w:trHeight w:val="1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8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Alto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8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9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BCP, BEB, SBM, SMA, SBC, MXG, MDR</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9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120,104,958</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9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61.2</w:t>
            </w:r>
          </w:p>
        </w:tc>
      </w:tr>
      <w:tr>
        <w:trPr>
          <w:cantSplit w:val="0"/>
          <w:trHeight w:val="170" w:hRule="atLeast"/>
          <w:tblHeader w:val="0"/>
        </w:trPr>
        <w:tc>
          <w:tcPr>
            <w:gridSpan w:val="3"/>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93">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96">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153,168,994</w:t>
            </w:r>
          </w:p>
        </w:tc>
        <w:tc>
          <w:tcPr>
            <w:tcBorders>
              <w:top w:color="000000" w:space="0" w:sz="4" w:val="single"/>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97">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170" w:hRule="atLeast"/>
          <w:tblHeader w:val="0"/>
        </w:trPr>
        <w:tc>
          <w:tcPr>
            <w:gridSpan w:val="5"/>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98">
            <w:pPr>
              <w:spacing w:after="0" w:line="240" w:lineRule="auto"/>
              <w:jc w:val="both"/>
              <w:rPr>
                <w:rFonts w:ascii="Arial" w:cs="Arial" w:eastAsia="Arial" w:hAnsi="Arial"/>
                <w:i w:val="1"/>
                <w:color w:val="000000"/>
                <w:sz w:val="14"/>
                <w:szCs w:val="14"/>
              </w:rPr>
            </w:pPr>
            <w:r w:rsidDel="00000000" w:rsidR="00000000" w:rsidRPr="00000000">
              <w:rPr>
                <w:rFonts w:ascii="Arial" w:cs="Arial" w:eastAsia="Arial" w:hAnsi="Arial"/>
                <w:i w:val="1"/>
                <w:color w:val="000000"/>
                <w:sz w:val="14"/>
                <w:szCs w:val="14"/>
                <w:rtl w:val="0"/>
              </w:rPr>
              <w:t xml:space="preserve">*Coberturas de uso de suelo de acuerdo con CONABIO (2018): </w:t>
            </w:r>
            <w:r w:rsidDel="00000000" w:rsidR="00000000" w:rsidRPr="00000000">
              <w:rPr>
                <w:rFonts w:ascii="Arial" w:cs="Arial" w:eastAsia="Arial" w:hAnsi="Arial"/>
                <w:b w:val="1"/>
                <w:i w:val="1"/>
                <w:color w:val="000000"/>
                <w:sz w:val="14"/>
                <w:szCs w:val="14"/>
                <w:rtl w:val="0"/>
              </w:rPr>
              <w:t xml:space="preserve">BCO</w:t>
            </w:r>
            <w:r w:rsidDel="00000000" w:rsidR="00000000" w:rsidRPr="00000000">
              <w:rPr>
                <w:rFonts w:ascii="Arial" w:cs="Arial" w:eastAsia="Arial" w:hAnsi="Arial"/>
                <w:i w:val="1"/>
                <w:color w:val="000000"/>
                <w:sz w:val="14"/>
                <w:szCs w:val="14"/>
                <w:rtl w:val="0"/>
              </w:rPr>
              <w:t xml:space="preserve"> = Bosque de coníferas de oyamel-ayarín, </w:t>
            </w:r>
            <w:r w:rsidDel="00000000" w:rsidR="00000000" w:rsidRPr="00000000">
              <w:rPr>
                <w:rFonts w:ascii="Arial" w:cs="Arial" w:eastAsia="Arial" w:hAnsi="Arial"/>
                <w:b w:val="1"/>
                <w:i w:val="1"/>
                <w:color w:val="000000"/>
                <w:sz w:val="14"/>
                <w:szCs w:val="14"/>
                <w:rtl w:val="0"/>
              </w:rPr>
              <w:t xml:space="preserve">BCP</w:t>
            </w:r>
            <w:r w:rsidDel="00000000" w:rsidR="00000000" w:rsidRPr="00000000">
              <w:rPr>
                <w:rFonts w:ascii="Arial" w:cs="Arial" w:eastAsia="Arial" w:hAnsi="Arial"/>
                <w:i w:val="1"/>
                <w:color w:val="000000"/>
                <w:sz w:val="14"/>
                <w:szCs w:val="14"/>
                <w:rtl w:val="0"/>
              </w:rPr>
              <w:t xml:space="preserve"> = Bosque de coníferas de pino y táscate, </w:t>
            </w:r>
            <w:r w:rsidDel="00000000" w:rsidR="00000000" w:rsidRPr="00000000">
              <w:rPr>
                <w:rFonts w:ascii="Arial" w:cs="Arial" w:eastAsia="Arial" w:hAnsi="Arial"/>
                <w:b w:val="1"/>
                <w:i w:val="1"/>
                <w:color w:val="000000"/>
                <w:sz w:val="14"/>
                <w:szCs w:val="14"/>
                <w:rtl w:val="0"/>
              </w:rPr>
              <w:t xml:space="preserve">BEB</w:t>
            </w:r>
            <w:r w:rsidDel="00000000" w:rsidR="00000000" w:rsidRPr="00000000">
              <w:rPr>
                <w:rFonts w:ascii="Arial" w:cs="Arial" w:eastAsia="Arial" w:hAnsi="Arial"/>
                <w:i w:val="1"/>
                <w:color w:val="000000"/>
                <w:sz w:val="14"/>
                <w:szCs w:val="14"/>
                <w:rtl w:val="0"/>
              </w:rPr>
              <w:t xml:space="preserve"> = Bosque de encino y bosque de galería, </w:t>
            </w:r>
            <w:r w:rsidDel="00000000" w:rsidR="00000000" w:rsidRPr="00000000">
              <w:rPr>
                <w:rFonts w:ascii="Arial" w:cs="Arial" w:eastAsia="Arial" w:hAnsi="Arial"/>
                <w:b w:val="1"/>
                <w:i w:val="1"/>
                <w:color w:val="000000"/>
                <w:sz w:val="14"/>
                <w:szCs w:val="14"/>
                <w:rtl w:val="0"/>
              </w:rPr>
              <w:t xml:space="preserve">CHA</w:t>
            </w:r>
            <w:r w:rsidDel="00000000" w:rsidR="00000000" w:rsidRPr="00000000">
              <w:rPr>
                <w:rFonts w:ascii="Arial" w:cs="Arial" w:eastAsia="Arial" w:hAnsi="Arial"/>
                <w:i w:val="1"/>
                <w:color w:val="000000"/>
                <w:sz w:val="14"/>
                <w:szCs w:val="14"/>
                <w:rtl w:val="0"/>
              </w:rPr>
              <w:t xml:space="preserve"> = Chaparral, </w:t>
            </w:r>
            <w:r w:rsidDel="00000000" w:rsidR="00000000" w:rsidRPr="00000000">
              <w:rPr>
                <w:rFonts w:ascii="Arial" w:cs="Arial" w:eastAsia="Arial" w:hAnsi="Arial"/>
                <w:b w:val="1"/>
                <w:i w:val="1"/>
                <w:color w:val="000000"/>
                <w:sz w:val="14"/>
                <w:szCs w:val="14"/>
                <w:rtl w:val="0"/>
              </w:rPr>
              <w:t xml:space="preserve">MAC</w:t>
            </w:r>
            <w:r w:rsidDel="00000000" w:rsidR="00000000" w:rsidRPr="00000000">
              <w:rPr>
                <w:rFonts w:ascii="Arial" w:cs="Arial" w:eastAsia="Arial" w:hAnsi="Arial"/>
                <w:i w:val="1"/>
                <w:color w:val="000000"/>
                <w:sz w:val="14"/>
                <w:szCs w:val="14"/>
                <w:rtl w:val="0"/>
              </w:rPr>
              <w:t xml:space="preserve"> = Matorral crasicaule, </w:t>
            </w:r>
            <w:r w:rsidDel="00000000" w:rsidR="00000000" w:rsidRPr="00000000">
              <w:rPr>
                <w:rFonts w:ascii="Arial" w:cs="Arial" w:eastAsia="Arial" w:hAnsi="Arial"/>
                <w:b w:val="1"/>
                <w:i w:val="1"/>
                <w:color w:val="000000"/>
                <w:sz w:val="14"/>
                <w:szCs w:val="14"/>
                <w:rtl w:val="0"/>
              </w:rPr>
              <w:t xml:space="preserve">MAE</w:t>
            </w:r>
            <w:r w:rsidDel="00000000" w:rsidR="00000000" w:rsidRPr="00000000">
              <w:rPr>
                <w:rFonts w:ascii="Arial" w:cs="Arial" w:eastAsia="Arial" w:hAnsi="Arial"/>
                <w:i w:val="1"/>
                <w:color w:val="000000"/>
                <w:sz w:val="14"/>
                <w:szCs w:val="14"/>
                <w:rtl w:val="0"/>
              </w:rPr>
              <w:t xml:space="preserve"> = Matorral espinoso tamaulipeco, </w:t>
            </w:r>
            <w:r w:rsidDel="00000000" w:rsidR="00000000" w:rsidRPr="00000000">
              <w:rPr>
                <w:rFonts w:ascii="Arial" w:cs="Arial" w:eastAsia="Arial" w:hAnsi="Arial"/>
                <w:b w:val="1"/>
                <w:i w:val="1"/>
                <w:color w:val="000000"/>
                <w:sz w:val="14"/>
                <w:szCs w:val="14"/>
                <w:rtl w:val="0"/>
              </w:rPr>
              <w:t xml:space="preserve">MAP</w:t>
            </w:r>
            <w:r w:rsidDel="00000000" w:rsidR="00000000" w:rsidRPr="00000000">
              <w:rPr>
                <w:rFonts w:ascii="Arial" w:cs="Arial" w:eastAsia="Arial" w:hAnsi="Arial"/>
                <w:i w:val="1"/>
                <w:color w:val="000000"/>
                <w:sz w:val="14"/>
                <w:szCs w:val="14"/>
                <w:rtl w:val="0"/>
              </w:rPr>
              <w:t xml:space="preserve"> = Manglar y petén, </w:t>
            </w:r>
            <w:r w:rsidDel="00000000" w:rsidR="00000000" w:rsidRPr="00000000">
              <w:rPr>
                <w:rFonts w:ascii="Arial" w:cs="Arial" w:eastAsia="Arial" w:hAnsi="Arial"/>
                <w:b w:val="1"/>
                <w:i w:val="1"/>
                <w:color w:val="000000"/>
                <w:sz w:val="14"/>
                <w:szCs w:val="14"/>
                <w:rtl w:val="0"/>
              </w:rPr>
              <w:t xml:space="preserve">MAS</w:t>
            </w:r>
            <w:r w:rsidDel="00000000" w:rsidR="00000000" w:rsidRPr="00000000">
              <w:rPr>
                <w:rFonts w:ascii="Arial" w:cs="Arial" w:eastAsia="Arial" w:hAnsi="Arial"/>
                <w:i w:val="1"/>
                <w:color w:val="000000"/>
                <w:sz w:val="14"/>
                <w:szCs w:val="14"/>
                <w:rtl w:val="0"/>
              </w:rPr>
              <w:t xml:space="preserve"> = Matorral sarcocaule, </w:t>
            </w:r>
            <w:r w:rsidDel="00000000" w:rsidR="00000000" w:rsidRPr="00000000">
              <w:rPr>
                <w:rFonts w:ascii="Arial" w:cs="Arial" w:eastAsia="Arial" w:hAnsi="Arial"/>
                <w:b w:val="1"/>
                <w:i w:val="1"/>
                <w:color w:val="000000"/>
                <w:sz w:val="14"/>
                <w:szCs w:val="14"/>
                <w:rtl w:val="0"/>
              </w:rPr>
              <w:t xml:space="preserve">MDR</w:t>
            </w:r>
            <w:r w:rsidDel="00000000" w:rsidR="00000000" w:rsidRPr="00000000">
              <w:rPr>
                <w:rFonts w:ascii="Arial" w:cs="Arial" w:eastAsia="Arial" w:hAnsi="Arial"/>
                <w:i w:val="1"/>
                <w:color w:val="000000"/>
                <w:sz w:val="14"/>
                <w:szCs w:val="14"/>
                <w:rtl w:val="0"/>
              </w:rPr>
              <w:t xml:space="preserve"> = Matorral desértico rosetófilo, </w:t>
            </w:r>
            <w:r w:rsidDel="00000000" w:rsidR="00000000" w:rsidRPr="00000000">
              <w:rPr>
                <w:rFonts w:ascii="Arial" w:cs="Arial" w:eastAsia="Arial" w:hAnsi="Arial"/>
                <w:b w:val="1"/>
                <w:i w:val="1"/>
                <w:color w:val="000000"/>
                <w:sz w:val="14"/>
                <w:szCs w:val="14"/>
                <w:rtl w:val="0"/>
              </w:rPr>
              <w:t xml:space="preserve">MES</w:t>
            </w:r>
            <w:r w:rsidDel="00000000" w:rsidR="00000000" w:rsidRPr="00000000">
              <w:rPr>
                <w:rFonts w:ascii="Arial" w:cs="Arial" w:eastAsia="Arial" w:hAnsi="Arial"/>
                <w:i w:val="1"/>
                <w:color w:val="000000"/>
                <w:sz w:val="14"/>
                <w:szCs w:val="14"/>
                <w:rtl w:val="0"/>
              </w:rPr>
              <w:t xml:space="preserve"> = Mezquital y submontano, </w:t>
            </w:r>
            <w:r w:rsidDel="00000000" w:rsidR="00000000" w:rsidRPr="00000000">
              <w:rPr>
                <w:rFonts w:ascii="Arial" w:cs="Arial" w:eastAsia="Arial" w:hAnsi="Arial"/>
                <w:b w:val="1"/>
                <w:i w:val="1"/>
                <w:color w:val="000000"/>
                <w:sz w:val="14"/>
                <w:szCs w:val="14"/>
                <w:rtl w:val="0"/>
              </w:rPr>
              <w:t xml:space="preserve">MRC</w:t>
            </w:r>
            <w:r w:rsidDel="00000000" w:rsidR="00000000" w:rsidRPr="00000000">
              <w:rPr>
                <w:rFonts w:ascii="Arial" w:cs="Arial" w:eastAsia="Arial" w:hAnsi="Arial"/>
                <w:i w:val="1"/>
                <w:color w:val="000000"/>
                <w:sz w:val="14"/>
                <w:szCs w:val="14"/>
                <w:rtl w:val="0"/>
              </w:rPr>
              <w:t xml:space="preserve"> = Matorral rosetófilo costero, </w:t>
            </w:r>
            <w:r w:rsidDel="00000000" w:rsidR="00000000" w:rsidRPr="00000000">
              <w:rPr>
                <w:rFonts w:ascii="Arial" w:cs="Arial" w:eastAsia="Arial" w:hAnsi="Arial"/>
                <w:b w:val="1"/>
                <w:i w:val="1"/>
                <w:color w:val="000000"/>
                <w:sz w:val="14"/>
                <w:szCs w:val="14"/>
                <w:rtl w:val="0"/>
              </w:rPr>
              <w:t xml:space="preserve">MSC</w:t>
            </w:r>
            <w:r w:rsidDel="00000000" w:rsidR="00000000" w:rsidRPr="00000000">
              <w:rPr>
                <w:rFonts w:ascii="Arial" w:cs="Arial" w:eastAsia="Arial" w:hAnsi="Arial"/>
                <w:i w:val="1"/>
                <w:color w:val="000000"/>
                <w:sz w:val="14"/>
                <w:szCs w:val="14"/>
                <w:rtl w:val="0"/>
              </w:rPr>
              <w:t xml:space="preserve"> = Matorral sarco-crasicaule de neblina, </w:t>
            </w:r>
            <w:r w:rsidDel="00000000" w:rsidR="00000000" w:rsidRPr="00000000">
              <w:rPr>
                <w:rFonts w:ascii="Arial" w:cs="Arial" w:eastAsia="Arial" w:hAnsi="Arial"/>
                <w:b w:val="1"/>
                <w:i w:val="1"/>
                <w:color w:val="000000"/>
                <w:sz w:val="14"/>
                <w:szCs w:val="14"/>
                <w:rtl w:val="0"/>
              </w:rPr>
              <w:t xml:space="preserve">MSC</w:t>
            </w:r>
            <w:r w:rsidDel="00000000" w:rsidR="00000000" w:rsidRPr="00000000">
              <w:rPr>
                <w:rFonts w:ascii="Arial" w:cs="Arial" w:eastAsia="Arial" w:hAnsi="Arial"/>
                <w:i w:val="1"/>
                <w:color w:val="000000"/>
                <w:sz w:val="14"/>
                <w:szCs w:val="14"/>
                <w:rtl w:val="0"/>
              </w:rPr>
              <w:t xml:space="preserve"> = Matorral sarco-crasicaule, </w:t>
            </w:r>
            <w:r w:rsidDel="00000000" w:rsidR="00000000" w:rsidRPr="00000000">
              <w:rPr>
                <w:rFonts w:ascii="Arial" w:cs="Arial" w:eastAsia="Arial" w:hAnsi="Arial"/>
                <w:b w:val="1"/>
                <w:i w:val="1"/>
                <w:color w:val="000000"/>
                <w:sz w:val="14"/>
                <w:szCs w:val="14"/>
                <w:rtl w:val="0"/>
              </w:rPr>
              <w:t xml:space="preserve">MXG</w:t>
            </w:r>
            <w:r w:rsidDel="00000000" w:rsidR="00000000" w:rsidRPr="00000000">
              <w:rPr>
                <w:rFonts w:ascii="Arial" w:cs="Arial" w:eastAsia="Arial" w:hAnsi="Arial"/>
                <w:i w:val="1"/>
                <w:color w:val="000000"/>
                <w:sz w:val="14"/>
                <w:szCs w:val="14"/>
                <w:rtl w:val="0"/>
              </w:rPr>
              <w:t xml:space="preserve"> = Mezquital xerófilo galería y desértico micrófilo, </w:t>
            </w:r>
            <w:r w:rsidDel="00000000" w:rsidR="00000000" w:rsidRPr="00000000">
              <w:rPr>
                <w:rFonts w:ascii="Arial" w:cs="Arial" w:eastAsia="Arial" w:hAnsi="Arial"/>
                <w:b w:val="1"/>
                <w:i w:val="1"/>
                <w:color w:val="000000"/>
                <w:sz w:val="14"/>
                <w:szCs w:val="14"/>
                <w:rtl w:val="0"/>
              </w:rPr>
              <w:t xml:space="preserve">SAS</w:t>
            </w:r>
            <w:r w:rsidDel="00000000" w:rsidR="00000000" w:rsidRPr="00000000">
              <w:rPr>
                <w:rFonts w:ascii="Arial" w:cs="Arial" w:eastAsia="Arial" w:hAnsi="Arial"/>
                <w:i w:val="1"/>
                <w:color w:val="000000"/>
                <w:sz w:val="14"/>
                <w:szCs w:val="14"/>
                <w:rtl w:val="0"/>
              </w:rPr>
              <w:t xml:space="preserve"> = Selva alta subperennifolia, </w:t>
            </w:r>
            <w:r w:rsidDel="00000000" w:rsidR="00000000" w:rsidRPr="00000000">
              <w:rPr>
                <w:rFonts w:ascii="Arial" w:cs="Arial" w:eastAsia="Arial" w:hAnsi="Arial"/>
                <w:b w:val="1"/>
                <w:i w:val="1"/>
                <w:color w:val="000000"/>
                <w:sz w:val="14"/>
                <w:szCs w:val="14"/>
                <w:rtl w:val="0"/>
              </w:rPr>
              <w:t xml:space="preserve">SBC</w:t>
            </w:r>
            <w:r w:rsidDel="00000000" w:rsidR="00000000" w:rsidRPr="00000000">
              <w:rPr>
                <w:rFonts w:ascii="Arial" w:cs="Arial" w:eastAsia="Arial" w:hAnsi="Arial"/>
                <w:i w:val="1"/>
                <w:color w:val="000000"/>
                <w:sz w:val="14"/>
                <w:szCs w:val="14"/>
                <w:rtl w:val="0"/>
              </w:rPr>
              <w:t xml:space="preserve"> = Selva baja caducifolia subcaducifolia y matorral subtropical, </w:t>
            </w:r>
            <w:r w:rsidDel="00000000" w:rsidR="00000000" w:rsidRPr="00000000">
              <w:rPr>
                <w:rFonts w:ascii="Arial" w:cs="Arial" w:eastAsia="Arial" w:hAnsi="Arial"/>
                <w:b w:val="1"/>
                <w:i w:val="1"/>
                <w:color w:val="000000"/>
                <w:sz w:val="14"/>
                <w:szCs w:val="14"/>
                <w:rtl w:val="0"/>
              </w:rPr>
              <w:t xml:space="preserve">SBM</w:t>
            </w:r>
            <w:r w:rsidDel="00000000" w:rsidR="00000000" w:rsidRPr="00000000">
              <w:rPr>
                <w:rFonts w:ascii="Arial" w:cs="Arial" w:eastAsia="Arial" w:hAnsi="Arial"/>
                <w:i w:val="1"/>
                <w:color w:val="000000"/>
                <w:sz w:val="14"/>
                <w:szCs w:val="14"/>
                <w:rtl w:val="0"/>
              </w:rPr>
              <w:t xml:space="preserve"> = Selva baja y mediana subperennifolia galería y palmar natural, </w:t>
            </w:r>
            <w:r w:rsidDel="00000000" w:rsidR="00000000" w:rsidRPr="00000000">
              <w:rPr>
                <w:rFonts w:ascii="Arial" w:cs="Arial" w:eastAsia="Arial" w:hAnsi="Arial"/>
                <w:b w:val="1"/>
                <w:i w:val="1"/>
                <w:color w:val="000000"/>
                <w:sz w:val="14"/>
                <w:szCs w:val="14"/>
                <w:rtl w:val="0"/>
              </w:rPr>
              <w:t xml:space="preserve">SBP</w:t>
            </w:r>
            <w:r w:rsidDel="00000000" w:rsidR="00000000" w:rsidRPr="00000000">
              <w:rPr>
                <w:rFonts w:ascii="Arial" w:cs="Arial" w:eastAsia="Arial" w:hAnsi="Arial"/>
                <w:i w:val="1"/>
                <w:color w:val="000000"/>
                <w:sz w:val="14"/>
                <w:szCs w:val="14"/>
                <w:rtl w:val="0"/>
              </w:rPr>
              <w:t xml:space="preserve"> = Selva baja perennifolia y bosque mesófilo, </w:t>
            </w:r>
            <w:r w:rsidDel="00000000" w:rsidR="00000000" w:rsidRPr="00000000">
              <w:rPr>
                <w:rFonts w:ascii="Arial" w:cs="Arial" w:eastAsia="Arial" w:hAnsi="Arial"/>
                <w:b w:val="1"/>
                <w:i w:val="1"/>
                <w:color w:val="000000"/>
                <w:sz w:val="14"/>
                <w:szCs w:val="14"/>
                <w:rtl w:val="0"/>
              </w:rPr>
              <w:t xml:space="preserve">SMA</w:t>
            </w:r>
            <w:r w:rsidDel="00000000" w:rsidR="00000000" w:rsidRPr="00000000">
              <w:rPr>
                <w:rFonts w:ascii="Arial" w:cs="Arial" w:eastAsia="Arial" w:hAnsi="Arial"/>
                <w:i w:val="1"/>
                <w:color w:val="000000"/>
                <w:sz w:val="14"/>
                <w:szCs w:val="14"/>
                <w:rtl w:val="0"/>
              </w:rPr>
              <w:t xml:space="preserve"> = Selva mediana y alta perennifolia, </w:t>
            </w:r>
            <w:r w:rsidDel="00000000" w:rsidR="00000000" w:rsidRPr="00000000">
              <w:rPr>
                <w:rFonts w:ascii="Arial" w:cs="Arial" w:eastAsia="Arial" w:hAnsi="Arial"/>
                <w:b w:val="1"/>
                <w:i w:val="1"/>
                <w:color w:val="000000"/>
                <w:sz w:val="14"/>
                <w:szCs w:val="14"/>
                <w:rtl w:val="0"/>
              </w:rPr>
              <w:t xml:space="preserve">SMC</w:t>
            </w:r>
            <w:r w:rsidDel="00000000" w:rsidR="00000000" w:rsidRPr="00000000">
              <w:rPr>
                <w:rFonts w:ascii="Arial" w:cs="Arial" w:eastAsia="Arial" w:hAnsi="Arial"/>
                <w:i w:val="1"/>
                <w:color w:val="000000"/>
                <w:sz w:val="14"/>
                <w:szCs w:val="14"/>
                <w:rtl w:val="0"/>
              </w:rPr>
              <w:t xml:space="preserve"> = Selva mediana caducifolia y subcaducifolia, </w:t>
            </w:r>
            <w:r w:rsidDel="00000000" w:rsidR="00000000" w:rsidRPr="00000000">
              <w:rPr>
                <w:rFonts w:ascii="Arial" w:cs="Arial" w:eastAsia="Arial" w:hAnsi="Arial"/>
                <w:b w:val="1"/>
                <w:i w:val="1"/>
                <w:color w:val="000000"/>
                <w:sz w:val="14"/>
                <w:szCs w:val="14"/>
                <w:rtl w:val="0"/>
              </w:rPr>
              <w:t xml:space="preserve">TUL</w:t>
            </w:r>
            <w:r w:rsidDel="00000000" w:rsidR="00000000" w:rsidRPr="00000000">
              <w:rPr>
                <w:rFonts w:ascii="Arial" w:cs="Arial" w:eastAsia="Arial" w:hAnsi="Arial"/>
                <w:i w:val="1"/>
                <w:color w:val="000000"/>
                <w:sz w:val="14"/>
                <w:szCs w:val="14"/>
                <w:rtl w:val="0"/>
              </w:rPr>
              <w:t xml:space="preserve"> = Tular, </w:t>
            </w:r>
            <w:r w:rsidDel="00000000" w:rsidR="00000000" w:rsidRPr="00000000">
              <w:rPr>
                <w:rFonts w:ascii="Arial" w:cs="Arial" w:eastAsia="Arial" w:hAnsi="Arial"/>
                <w:b w:val="1"/>
                <w:i w:val="1"/>
                <w:color w:val="000000"/>
                <w:sz w:val="14"/>
                <w:szCs w:val="14"/>
                <w:rtl w:val="0"/>
              </w:rPr>
              <w:t xml:space="preserve">VDA</w:t>
            </w:r>
            <w:r w:rsidDel="00000000" w:rsidR="00000000" w:rsidRPr="00000000">
              <w:rPr>
                <w:rFonts w:ascii="Arial" w:cs="Arial" w:eastAsia="Arial" w:hAnsi="Arial"/>
                <w:i w:val="1"/>
                <w:color w:val="000000"/>
                <w:sz w:val="14"/>
                <w:szCs w:val="14"/>
                <w:rtl w:val="0"/>
              </w:rPr>
              <w:t xml:space="preserve"> = Vegetación de desiertos arenosos, </w:t>
            </w:r>
            <w:r w:rsidDel="00000000" w:rsidR="00000000" w:rsidRPr="00000000">
              <w:rPr>
                <w:rFonts w:ascii="Arial" w:cs="Arial" w:eastAsia="Arial" w:hAnsi="Arial"/>
                <w:b w:val="1"/>
                <w:i w:val="1"/>
                <w:color w:val="000000"/>
                <w:sz w:val="14"/>
                <w:szCs w:val="14"/>
                <w:rtl w:val="0"/>
              </w:rPr>
              <w:t xml:space="preserve">VDC</w:t>
            </w:r>
            <w:r w:rsidDel="00000000" w:rsidR="00000000" w:rsidRPr="00000000">
              <w:rPr>
                <w:rFonts w:ascii="Arial" w:cs="Arial" w:eastAsia="Arial" w:hAnsi="Arial"/>
                <w:i w:val="1"/>
                <w:color w:val="000000"/>
                <w:sz w:val="14"/>
                <w:szCs w:val="14"/>
                <w:rtl w:val="0"/>
              </w:rPr>
              <w:t xml:space="preserve"> = Vegetación de dunas costeras, </w:t>
            </w:r>
            <w:r w:rsidDel="00000000" w:rsidR="00000000" w:rsidRPr="00000000">
              <w:rPr>
                <w:rFonts w:ascii="Arial" w:cs="Arial" w:eastAsia="Arial" w:hAnsi="Arial"/>
                <w:b w:val="1"/>
                <w:i w:val="1"/>
                <w:color w:val="000000"/>
                <w:sz w:val="14"/>
                <w:szCs w:val="14"/>
                <w:rtl w:val="0"/>
              </w:rPr>
              <w:t xml:space="preserve">VHH</w:t>
            </w:r>
            <w:r w:rsidDel="00000000" w:rsidR="00000000" w:rsidRPr="00000000">
              <w:rPr>
                <w:rFonts w:ascii="Arial" w:cs="Arial" w:eastAsia="Arial" w:hAnsi="Arial"/>
                <w:i w:val="1"/>
                <w:color w:val="000000"/>
                <w:sz w:val="14"/>
                <w:szCs w:val="14"/>
                <w:rtl w:val="0"/>
              </w:rPr>
              <w:t xml:space="preserve"> = Vegetación halófila hidrófila, </w:t>
            </w:r>
            <w:r w:rsidDel="00000000" w:rsidR="00000000" w:rsidRPr="00000000">
              <w:rPr>
                <w:rFonts w:ascii="Arial" w:cs="Arial" w:eastAsia="Arial" w:hAnsi="Arial"/>
                <w:b w:val="1"/>
                <w:i w:val="1"/>
                <w:color w:val="000000"/>
                <w:sz w:val="14"/>
                <w:szCs w:val="14"/>
                <w:rtl w:val="0"/>
              </w:rPr>
              <w:t xml:space="preserve">VHX</w:t>
            </w:r>
            <w:r w:rsidDel="00000000" w:rsidR="00000000" w:rsidRPr="00000000">
              <w:rPr>
                <w:rFonts w:ascii="Arial" w:cs="Arial" w:eastAsia="Arial" w:hAnsi="Arial"/>
                <w:i w:val="1"/>
                <w:color w:val="000000"/>
                <w:sz w:val="14"/>
                <w:szCs w:val="14"/>
                <w:rtl w:val="0"/>
              </w:rPr>
              <w:t xml:space="preserve"> = Vegetación halófila xerófila y gipsófila. </w:t>
            </w:r>
          </w:p>
        </w:tc>
      </w:tr>
    </w:tbl>
    <w:p w:rsidR="00000000" w:rsidDel="00000000" w:rsidP="00000000" w:rsidRDefault="00000000" w:rsidRPr="00000000" w14:paraId="0000049D">
      <w:pPr>
        <w:spacing w:after="0" w:lineRule="auto"/>
        <w:jc w:val="center"/>
        <w:rPr>
          <w:rFonts w:ascii="Arial" w:cs="Arial" w:eastAsia="Arial" w:hAnsi="Arial"/>
          <w:i w:val="1"/>
          <w:color w:val="0e2841"/>
          <w:sz w:val="20"/>
          <w:szCs w:val="20"/>
        </w:rPr>
      </w:pPr>
      <w:r w:rsidDel="00000000" w:rsidR="00000000" w:rsidRPr="00000000">
        <w:rPr>
          <w:rFonts w:ascii="Arial" w:cs="Arial" w:eastAsia="Arial" w:hAnsi="Arial"/>
          <w:sz w:val="20"/>
          <w:szCs w:val="20"/>
        </w:rPr>
        <w:drawing>
          <wp:inline distB="0" distT="0" distL="0" distR="0">
            <wp:extent cx="4985298" cy="3525389"/>
            <wp:effectExtent b="0" l="0" r="0" t="0"/>
            <wp:docPr id="2101763727" name="image8.png"/>
            <a:graphic>
              <a:graphicData uri="http://schemas.openxmlformats.org/drawingml/2006/picture">
                <pic:pic>
                  <pic:nvPicPr>
                    <pic:cNvPr id="0" name="image8.png"/>
                    <pic:cNvPicPr preferRelativeResize="0"/>
                  </pic:nvPicPr>
                  <pic:blipFill>
                    <a:blip r:embed="rId38"/>
                    <a:srcRect b="0" l="0" r="0" t="0"/>
                    <a:stretch>
                      <a:fillRect/>
                    </a:stretch>
                  </pic:blipFill>
                  <pic:spPr>
                    <a:xfrm>
                      <a:off x="0" y="0"/>
                      <a:ext cx="4985298" cy="3525389"/>
                    </a:xfrm>
                    <a:prstGeom prst="rect"/>
                    <a:ln/>
                  </pic:spPr>
                </pic:pic>
              </a:graphicData>
            </a:graphic>
          </wp:inline>
        </w:drawing>
      </w:r>
      <w:r w:rsidDel="00000000" w:rsidR="00000000" w:rsidRPr="00000000">
        <w:rPr>
          <w:rtl w:val="0"/>
        </w:rPr>
      </w:r>
    </w:p>
    <w:p w:rsidR="00000000" w:rsidDel="00000000" w:rsidP="00000000" w:rsidRDefault="00000000" w:rsidRPr="00000000" w14:paraId="0000049E">
      <w:pPr>
        <w:spacing w:after="0" w:lineRule="auto"/>
        <w:jc w:val="center"/>
        <w:rPr>
          <w:rFonts w:ascii="Arial" w:cs="Arial" w:eastAsia="Arial" w:hAnsi="Arial"/>
          <w:sz w:val="20"/>
          <w:szCs w:val="20"/>
        </w:rPr>
      </w:pPr>
      <w:r w:rsidDel="00000000" w:rsidR="00000000" w:rsidRPr="00000000">
        <w:rPr>
          <w:rFonts w:ascii="Arial" w:cs="Arial" w:eastAsia="Arial" w:hAnsi="Arial"/>
          <w:i w:val="1"/>
          <w:color w:val="0e2841"/>
          <w:sz w:val="20"/>
          <w:szCs w:val="20"/>
          <w:rtl w:val="0"/>
        </w:rPr>
        <w:t xml:space="preserve">Figura 23. Variable 12: Importancia económica por tipo de vegetación, criterio económico del componente valor.</w:t>
      </w:r>
      <w:r w:rsidDel="00000000" w:rsidR="00000000" w:rsidRPr="00000000">
        <w:rPr>
          <w:rtl w:val="0"/>
        </w:rPr>
      </w:r>
    </w:p>
    <w:p w:rsidR="00000000" w:rsidDel="00000000" w:rsidP="00000000" w:rsidRDefault="00000000" w:rsidRPr="00000000" w14:paraId="0000049F">
      <w:pPr>
        <w:pStyle w:val="Heading2"/>
        <w:rPr>
          <w:b w:val="1"/>
          <w:color w:val="135b42"/>
          <w:sz w:val="22"/>
          <w:szCs w:val="22"/>
        </w:rPr>
      </w:pPr>
      <w:bookmarkStart w:colFirst="0" w:colLast="0" w:name="_heading=h.rdfw7sj1fvzf" w:id="75"/>
      <w:bookmarkEnd w:id="75"/>
      <w:r w:rsidDel="00000000" w:rsidR="00000000" w:rsidRPr="00000000">
        <w:rPr>
          <w:b w:val="1"/>
          <w:color w:val="135b42"/>
          <w:sz w:val="22"/>
          <w:szCs w:val="22"/>
          <w:rtl w:val="0"/>
        </w:rPr>
        <w:t xml:space="preserve">Mapa del criterio valor-económico.</w:t>
      </w:r>
    </w:p>
    <w:p w:rsidR="00000000" w:rsidDel="00000000" w:rsidP="00000000" w:rsidRDefault="00000000" w:rsidRPr="00000000" w14:paraId="000004A0">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Similar a los mapas calculados para los dos criterios anteriores, se realiza una sumatoria de las variables, en este caso se obtiene un rango de 0 a 5, las cuales se reclasifican en 6 categorías, tal como se muestra en el Cuadro 21. </w:t>
      </w:r>
    </w:p>
    <w:tbl>
      <w:tblPr>
        <w:tblStyle w:val="Table21"/>
        <w:tblW w:w="8838.0" w:type="dxa"/>
        <w:jc w:val="left"/>
        <w:tblLayout w:type="fixed"/>
        <w:tblLook w:val="0400"/>
      </w:tblPr>
      <w:tblGrid>
        <w:gridCol w:w="2694"/>
        <w:gridCol w:w="1594"/>
        <w:gridCol w:w="3618"/>
        <w:gridCol w:w="932"/>
        <w:tblGridChange w:id="0">
          <w:tblGrid>
            <w:gridCol w:w="2694"/>
            <w:gridCol w:w="1594"/>
            <w:gridCol w:w="3618"/>
            <w:gridCol w:w="932"/>
          </w:tblGrid>
        </w:tblGridChange>
      </w:tblGrid>
      <w:tr>
        <w:trPr>
          <w:cantSplit w:val="0"/>
          <w:trHeight w:val="285" w:hRule="atLeast"/>
          <w:tblHeader w:val="0"/>
        </w:trPr>
        <w:tc>
          <w:tcPr>
            <w:gridSpan w:val="4"/>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A1">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1x0gk37" w:id="76"/>
            <w:bookmarkEnd w:id="76"/>
            <w:r w:rsidDel="00000000" w:rsidR="00000000" w:rsidRPr="00000000">
              <w:rPr>
                <w:rFonts w:ascii="Arial" w:cs="Arial" w:eastAsia="Arial" w:hAnsi="Arial"/>
                <w:i w:val="1"/>
                <w:color w:val="0e2841"/>
                <w:sz w:val="20"/>
                <w:szCs w:val="20"/>
                <w:rtl w:val="0"/>
              </w:rPr>
              <w:t xml:space="preserve">Cuadro 21. Ponderación del criterio económico del componente valor.</w:t>
            </w:r>
          </w:p>
        </w:tc>
      </w:tr>
      <w:tr>
        <w:trPr>
          <w:cantSplit w:val="0"/>
          <w:trHeight w:val="28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A5">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sz w:val="18"/>
                <w:szCs w:val="18"/>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A6">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VALOR</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A7">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A8">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A9">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 aplica</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A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A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42,087,561</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A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21.4</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AD">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Muy bajo</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A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A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9,471,379</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0">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4.8</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B1">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Bajo </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23,177,743</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4">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11.8</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B5">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Medio</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107,751,305</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8">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54.9</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B9">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Alto</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11,376,789</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5.8</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D">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Muy alto</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B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2,364,432</w:t>
            </w:r>
          </w:p>
        </w:tc>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4C0">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1.2</w:t>
            </w:r>
          </w:p>
        </w:tc>
      </w:tr>
      <w:tr>
        <w:trPr>
          <w:cantSplit w:val="0"/>
          <w:trHeight w:val="285" w:hRule="atLeast"/>
          <w:tblHeader w:val="0"/>
        </w:trPr>
        <w:tc>
          <w:tcPr>
            <w:gridSpan w:val="2"/>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C1">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C3">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C4">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188" w:hRule="atLeast"/>
          <w:tblHeader w:val="0"/>
        </w:trPr>
        <w:tc>
          <w:tcPr>
            <w:gridSpan w:val="4"/>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C5">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 </w:t>
            </w:r>
          </w:p>
        </w:tc>
      </w:tr>
    </w:tbl>
    <w:p w:rsidR="00000000" w:rsidDel="00000000" w:rsidP="00000000" w:rsidRDefault="00000000" w:rsidRPr="00000000" w14:paraId="000004C9">
      <w:pPr>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CA">
      <w:pPr>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0461" cy="3967477"/>
            <wp:effectExtent b="0" l="0" r="0" t="0"/>
            <wp:docPr id="2101763728" name="image4.png"/>
            <a:graphic>
              <a:graphicData uri="http://schemas.openxmlformats.org/drawingml/2006/picture">
                <pic:pic>
                  <pic:nvPicPr>
                    <pic:cNvPr id="0" name="image4.png"/>
                    <pic:cNvPicPr preferRelativeResize="0"/>
                  </pic:nvPicPr>
                  <pic:blipFill>
                    <a:blip r:embed="rId39"/>
                    <a:srcRect b="0" l="0" r="0" t="0"/>
                    <a:stretch>
                      <a:fillRect/>
                    </a:stretch>
                  </pic:blipFill>
                  <pic:spPr>
                    <a:xfrm>
                      <a:off x="0" y="0"/>
                      <a:ext cx="5610461" cy="3967477"/>
                    </a:xfrm>
                    <a:prstGeom prst="rect"/>
                    <a:ln/>
                  </pic:spPr>
                </pic:pic>
              </a:graphicData>
            </a:graphic>
          </wp:inline>
        </w:drawing>
      </w:r>
      <w:r w:rsidDel="00000000" w:rsidR="00000000" w:rsidRPr="00000000">
        <w:rPr>
          <w:rtl w:val="0"/>
        </w:rPr>
      </w:r>
    </w:p>
    <w:p w:rsidR="00000000" w:rsidDel="00000000" w:rsidP="00000000" w:rsidRDefault="00000000" w:rsidRPr="00000000" w14:paraId="000004CB">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24. Criterio económico del componente valor.</w:t>
      </w:r>
    </w:p>
    <w:p w:rsidR="00000000" w:rsidDel="00000000" w:rsidP="00000000" w:rsidRDefault="00000000" w:rsidRPr="00000000" w14:paraId="000004CC">
      <w:pPr>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CD">
      <w:pPr>
        <w:pStyle w:val="Heading2"/>
        <w:rPr>
          <w:b w:val="1"/>
          <w:color w:val="135b42"/>
          <w:sz w:val="22"/>
          <w:szCs w:val="22"/>
        </w:rPr>
      </w:pPr>
      <w:bookmarkStart w:colFirst="0" w:colLast="0" w:name="_heading=h.bjqn8u9a8tmz" w:id="77"/>
      <w:bookmarkEnd w:id="77"/>
      <w:r w:rsidDel="00000000" w:rsidR="00000000" w:rsidRPr="00000000">
        <w:rPr>
          <w:b w:val="1"/>
          <w:color w:val="135b42"/>
          <w:sz w:val="22"/>
          <w:szCs w:val="22"/>
          <w:rtl w:val="0"/>
        </w:rPr>
        <w:t xml:space="preserve">Mapa del componente valor ponderado</w:t>
      </w:r>
    </w:p>
    <w:p w:rsidR="00000000" w:rsidDel="00000000" w:rsidP="00000000" w:rsidRDefault="00000000" w:rsidRPr="00000000" w14:paraId="000004CE">
      <w:pPr>
        <w:jc w:val="both"/>
        <w:rPr>
          <w:rFonts w:ascii="Arial" w:cs="Arial" w:eastAsia="Arial" w:hAnsi="Arial"/>
          <w:sz w:val="20"/>
          <w:szCs w:val="20"/>
        </w:rPr>
      </w:pPr>
      <w:bookmarkStart w:colFirst="0" w:colLast="0" w:name="_heading=h.2w5ecyt" w:id="78"/>
      <w:bookmarkEnd w:id="78"/>
      <w:r w:rsidDel="00000000" w:rsidR="00000000" w:rsidRPr="00000000">
        <w:rPr>
          <w:rFonts w:ascii="Arial" w:cs="Arial" w:eastAsia="Arial" w:hAnsi="Arial"/>
          <w:sz w:val="20"/>
          <w:szCs w:val="20"/>
          <w:rtl w:val="0"/>
        </w:rPr>
        <w:t xml:space="preserve">El mapa de componente valor es una representación espacial que integra y evalúa diversas características ecológicas, socioculturales y económicas de la población, así como ambientales en el país. Este mapa permite identificar y valorar áreas críticas mediante una ponderación de estos criterios, donde se resaltan zonas de interés de protección y conservación de los daños ocasionados por la presencia de incendios forestales. Se calcula mediante la Ecuación (2).</w:t>
      </w:r>
    </w:p>
    <w:tbl>
      <w:tblPr>
        <w:tblStyle w:val="Table22"/>
        <w:tblW w:w="882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222"/>
        <w:gridCol w:w="606"/>
        <w:tblGridChange w:id="0">
          <w:tblGrid>
            <w:gridCol w:w="8222"/>
            <w:gridCol w:w="606"/>
          </w:tblGrid>
        </w:tblGridChange>
      </w:tblGrid>
      <w:tr>
        <w:trPr>
          <w:cantSplit w:val="0"/>
          <w:tblHeader w:val="0"/>
        </w:trPr>
        <w:tc>
          <w:tcPr>
            <w:vAlign w:val="center"/>
          </w:tcPr>
          <w:p w:rsidR="00000000" w:rsidDel="00000000" w:rsidP="00000000" w:rsidRDefault="00000000" w:rsidRPr="00000000" w14:paraId="000004CF">
            <w:pPr>
              <w:jc w:val="center"/>
              <w:rPr>
                <w:rFonts w:ascii="Arial" w:cs="Arial" w:eastAsia="Arial" w:hAnsi="Arial"/>
                <w:i w:val="1"/>
                <w:sz w:val="20"/>
                <w:szCs w:val="20"/>
              </w:rPr>
            </w:pPr>
            <w:r w:rsidDel="00000000" w:rsidR="00000000" w:rsidRPr="00000000">
              <w:rPr>
                <w:rFonts w:ascii="Arial" w:cs="Arial" w:eastAsia="Arial" w:hAnsi="Arial"/>
                <w:b w:val="1"/>
                <w:i w:val="1"/>
                <w:sz w:val="20"/>
                <w:szCs w:val="20"/>
                <w:rtl w:val="0"/>
              </w:rPr>
              <w:t xml:space="preserve">V</w:t>
            </w:r>
            <w:r w:rsidDel="00000000" w:rsidR="00000000" w:rsidRPr="00000000">
              <w:rPr>
                <w:rFonts w:ascii="Arial" w:cs="Arial" w:eastAsia="Arial" w:hAnsi="Arial"/>
                <w:b w:val="1"/>
                <w:i w:val="1"/>
                <w:sz w:val="20"/>
                <w:szCs w:val="20"/>
                <w:vertAlign w:val="subscript"/>
                <w:rtl w:val="0"/>
              </w:rPr>
              <w:t xml:space="preserve">P</w:t>
            </w:r>
            <w:r w:rsidDel="00000000" w:rsidR="00000000" w:rsidRPr="00000000">
              <w:rPr>
                <w:rFonts w:ascii="Arial" w:cs="Arial" w:eastAsia="Arial" w:hAnsi="Arial"/>
                <w:i w:val="1"/>
                <w:sz w:val="20"/>
                <w:szCs w:val="20"/>
                <w:rtl w:val="0"/>
              </w:rPr>
              <w:t xml:space="preserve"> = (3 × </w:t>
            </w:r>
            <w:r w:rsidDel="00000000" w:rsidR="00000000" w:rsidRPr="00000000">
              <w:rPr>
                <w:rFonts w:ascii="Arial" w:cs="Arial" w:eastAsia="Arial" w:hAnsi="Arial"/>
                <w:b w:val="1"/>
                <w:i w:val="1"/>
                <w:sz w:val="20"/>
                <w:szCs w:val="20"/>
                <w:rtl w:val="0"/>
              </w:rPr>
              <w:t xml:space="preserve">C</w:t>
            </w:r>
            <w:r w:rsidDel="00000000" w:rsidR="00000000" w:rsidRPr="00000000">
              <w:rPr>
                <w:rFonts w:ascii="Arial" w:cs="Arial" w:eastAsia="Arial" w:hAnsi="Arial"/>
                <w:b w:val="1"/>
                <w:i w:val="1"/>
                <w:sz w:val="20"/>
                <w:szCs w:val="20"/>
                <w:vertAlign w:val="subscript"/>
                <w:rtl w:val="0"/>
              </w:rPr>
              <w:t xml:space="preserve">1</w:t>
            </w:r>
            <w:r w:rsidDel="00000000" w:rsidR="00000000" w:rsidRPr="00000000">
              <w:rPr>
                <w:rFonts w:ascii="Arial" w:cs="Arial" w:eastAsia="Arial" w:hAnsi="Arial"/>
                <w:i w:val="1"/>
                <w:sz w:val="20"/>
                <w:szCs w:val="20"/>
                <w:rtl w:val="0"/>
              </w:rPr>
              <w:t xml:space="preserve">) + (3.67 × </w:t>
            </w:r>
            <w:r w:rsidDel="00000000" w:rsidR="00000000" w:rsidRPr="00000000">
              <w:rPr>
                <w:rFonts w:ascii="Arial" w:cs="Arial" w:eastAsia="Arial" w:hAnsi="Arial"/>
                <w:b w:val="1"/>
                <w:i w:val="1"/>
                <w:sz w:val="20"/>
                <w:szCs w:val="20"/>
                <w:rtl w:val="0"/>
              </w:rPr>
              <w:t xml:space="preserve">C</w:t>
            </w:r>
            <w:r w:rsidDel="00000000" w:rsidR="00000000" w:rsidRPr="00000000">
              <w:rPr>
                <w:rFonts w:ascii="Arial" w:cs="Arial" w:eastAsia="Arial" w:hAnsi="Arial"/>
                <w:b w:val="1"/>
                <w:i w:val="1"/>
                <w:sz w:val="20"/>
                <w:szCs w:val="20"/>
                <w:vertAlign w:val="subscript"/>
                <w:rtl w:val="0"/>
              </w:rPr>
              <w:t xml:space="preserve">2</w:t>
            </w:r>
            <w:r w:rsidDel="00000000" w:rsidR="00000000" w:rsidRPr="00000000">
              <w:rPr>
                <w:rFonts w:ascii="Arial" w:cs="Arial" w:eastAsia="Arial" w:hAnsi="Arial"/>
                <w:i w:val="1"/>
                <w:sz w:val="20"/>
                <w:szCs w:val="20"/>
                <w:rtl w:val="0"/>
              </w:rPr>
              <w:t xml:space="preserve">) + (6.6 × </w:t>
            </w:r>
            <w:r w:rsidDel="00000000" w:rsidR="00000000" w:rsidRPr="00000000">
              <w:rPr>
                <w:rFonts w:ascii="Arial" w:cs="Arial" w:eastAsia="Arial" w:hAnsi="Arial"/>
                <w:b w:val="1"/>
                <w:i w:val="1"/>
                <w:sz w:val="20"/>
                <w:szCs w:val="20"/>
                <w:rtl w:val="0"/>
              </w:rPr>
              <w:t xml:space="preserve">C</w:t>
            </w:r>
            <w:r w:rsidDel="00000000" w:rsidR="00000000" w:rsidRPr="00000000">
              <w:rPr>
                <w:rFonts w:ascii="Arial" w:cs="Arial" w:eastAsia="Arial" w:hAnsi="Arial"/>
                <w:b w:val="1"/>
                <w:i w:val="1"/>
                <w:sz w:val="20"/>
                <w:szCs w:val="20"/>
                <w:vertAlign w:val="subscript"/>
                <w:rtl w:val="0"/>
              </w:rPr>
              <w:t xml:space="preserve">3</w:t>
            </w:r>
            <w:r w:rsidDel="00000000" w:rsidR="00000000" w:rsidRPr="00000000">
              <w:rPr>
                <w:rFonts w:ascii="Arial" w:cs="Arial" w:eastAsia="Arial" w:hAnsi="Arial"/>
                <w:i w:val="1"/>
                <w:sz w:val="20"/>
                <w:szCs w:val="20"/>
                <w:rtl w:val="0"/>
              </w:rPr>
              <w:t xml:space="preserve">)</w:t>
            </w:r>
          </w:p>
        </w:tc>
        <w:tc>
          <w:tcPr>
            <w:vAlign w:val="center"/>
          </w:tcPr>
          <w:p w:rsidR="00000000" w:rsidDel="00000000" w:rsidP="00000000" w:rsidRDefault="00000000" w:rsidRPr="00000000" w14:paraId="000004D0">
            <w:pPr>
              <w:jc w:val="center"/>
              <w:rPr>
                <w:rFonts w:ascii="Arial" w:cs="Arial" w:eastAsia="Arial" w:hAnsi="Arial"/>
                <w:sz w:val="20"/>
                <w:szCs w:val="20"/>
              </w:rPr>
            </w:pPr>
            <w:bookmarkStart w:colFirst="0" w:colLast="0" w:name="_heading=h.1baon6m" w:id="79"/>
            <w:bookmarkEnd w:id="79"/>
            <w:r w:rsidDel="00000000" w:rsidR="00000000" w:rsidRPr="00000000">
              <w:rPr>
                <w:rFonts w:ascii="Arial" w:cs="Arial" w:eastAsia="Arial" w:hAnsi="Arial"/>
                <w:sz w:val="20"/>
                <w:szCs w:val="20"/>
                <w:rtl w:val="0"/>
              </w:rPr>
              <w:t xml:space="preserve">2</w:t>
            </w:r>
          </w:p>
        </w:tc>
      </w:tr>
    </w:tbl>
    <w:p w:rsidR="00000000" w:rsidDel="00000000" w:rsidP="00000000" w:rsidRDefault="00000000" w:rsidRPr="00000000" w14:paraId="000004D1">
      <w:pPr>
        <w:jc w:val="both"/>
        <w:rPr>
          <w:rFonts w:ascii="Arial" w:cs="Arial" w:eastAsia="Arial" w:hAnsi="Arial"/>
          <w:i w:val="1"/>
          <w:sz w:val="16"/>
          <w:szCs w:val="16"/>
        </w:rPr>
      </w:pPr>
      <w:r w:rsidDel="00000000" w:rsidR="00000000" w:rsidRPr="00000000">
        <w:rPr>
          <w:rFonts w:ascii="Arial" w:cs="Arial" w:eastAsia="Arial" w:hAnsi="Arial"/>
          <w:i w:val="1"/>
          <w:sz w:val="16"/>
          <w:szCs w:val="16"/>
          <w:rtl w:val="0"/>
        </w:rPr>
        <w:t xml:space="preserve">Donde </w:t>
      </w:r>
      <w:r w:rsidDel="00000000" w:rsidR="00000000" w:rsidRPr="00000000">
        <w:rPr>
          <w:rFonts w:ascii="Arial" w:cs="Arial" w:eastAsia="Arial" w:hAnsi="Arial"/>
          <w:b w:val="1"/>
          <w:i w:val="1"/>
          <w:sz w:val="16"/>
          <w:szCs w:val="16"/>
          <w:rtl w:val="0"/>
        </w:rPr>
        <w:t xml:space="preserve">V</w:t>
      </w:r>
      <w:r w:rsidDel="00000000" w:rsidR="00000000" w:rsidRPr="00000000">
        <w:rPr>
          <w:rFonts w:ascii="Arial" w:cs="Arial" w:eastAsia="Arial" w:hAnsi="Arial"/>
          <w:b w:val="1"/>
          <w:i w:val="1"/>
          <w:sz w:val="16"/>
          <w:szCs w:val="16"/>
          <w:vertAlign w:val="subscript"/>
          <w:rtl w:val="0"/>
        </w:rPr>
        <w:t xml:space="preserve">P</w:t>
      </w:r>
      <w:r w:rsidDel="00000000" w:rsidR="00000000" w:rsidRPr="00000000">
        <w:rPr>
          <w:rFonts w:ascii="Arial" w:cs="Arial" w:eastAsia="Arial" w:hAnsi="Arial"/>
          <w:i w:val="1"/>
          <w:sz w:val="16"/>
          <w:szCs w:val="16"/>
          <w:rtl w:val="0"/>
        </w:rPr>
        <w:t xml:space="preserve"> = Valor ponderado, C</w:t>
      </w:r>
      <w:r w:rsidDel="00000000" w:rsidR="00000000" w:rsidRPr="00000000">
        <w:rPr>
          <w:rFonts w:ascii="Arial" w:cs="Arial" w:eastAsia="Arial" w:hAnsi="Arial"/>
          <w:i w:val="1"/>
          <w:sz w:val="16"/>
          <w:szCs w:val="16"/>
          <w:vertAlign w:val="subscript"/>
          <w:rtl w:val="0"/>
        </w:rPr>
        <w:t xml:space="preserve">1</w:t>
      </w:r>
      <w:r w:rsidDel="00000000" w:rsidR="00000000" w:rsidRPr="00000000">
        <w:rPr>
          <w:rFonts w:ascii="Arial" w:cs="Arial" w:eastAsia="Arial" w:hAnsi="Arial"/>
          <w:i w:val="1"/>
          <w:sz w:val="16"/>
          <w:szCs w:val="16"/>
          <w:rtl w:val="0"/>
        </w:rPr>
        <w:t xml:space="preserve"> = Criterio ecológico, C</w:t>
      </w:r>
      <w:r w:rsidDel="00000000" w:rsidR="00000000" w:rsidRPr="00000000">
        <w:rPr>
          <w:rFonts w:ascii="Arial" w:cs="Arial" w:eastAsia="Arial" w:hAnsi="Arial"/>
          <w:i w:val="1"/>
          <w:sz w:val="16"/>
          <w:szCs w:val="16"/>
          <w:vertAlign w:val="subscript"/>
          <w:rtl w:val="0"/>
        </w:rPr>
        <w:t xml:space="preserve">2</w:t>
      </w:r>
      <w:r w:rsidDel="00000000" w:rsidR="00000000" w:rsidRPr="00000000">
        <w:rPr>
          <w:rFonts w:ascii="Arial" w:cs="Arial" w:eastAsia="Arial" w:hAnsi="Arial"/>
          <w:i w:val="1"/>
          <w:sz w:val="16"/>
          <w:szCs w:val="16"/>
          <w:rtl w:val="0"/>
        </w:rPr>
        <w:t xml:space="preserve"> = Criterio socio-cultural, C</w:t>
      </w:r>
      <w:r w:rsidDel="00000000" w:rsidR="00000000" w:rsidRPr="00000000">
        <w:rPr>
          <w:rFonts w:ascii="Arial" w:cs="Arial" w:eastAsia="Arial" w:hAnsi="Arial"/>
          <w:i w:val="1"/>
          <w:sz w:val="16"/>
          <w:szCs w:val="16"/>
          <w:vertAlign w:val="subscript"/>
          <w:rtl w:val="0"/>
        </w:rPr>
        <w:t xml:space="preserve">3</w:t>
      </w:r>
      <w:r w:rsidDel="00000000" w:rsidR="00000000" w:rsidRPr="00000000">
        <w:rPr>
          <w:rFonts w:ascii="Arial" w:cs="Arial" w:eastAsia="Arial" w:hAnsi="Arial"/>
          <w:i w:val="1"/>
          <w:sz w:val="16"/>
          <w:szCs w:val="16"/>
          <w:rtl w:val="0"/>
        </w:rPr>
        <w:t xml:space="preserve"> = Criterio económico. Estos últimos tres son las capas reclasificadas en 5, 5 y 6 clases respectivamente.</w:t>
      </w:r>
    </w:p>
    <w:p w:rsidR="00000000" w:rsidDel="00000000" w:rsidP="00000000" w:rsidRDefault="00000000" w:rsidRPr="00000000" w14:paraId="000004D2">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ponderación se realiza para distribuir un peso homogéneo en los tres aspectos, dado que no tienen la misma cantidad de variables en cada criterio. Los valores del componente valor ponderado (</w:t>
      </w:r>
      <w:r w:rsidDel="00000000" w:rsidR="00000000" w:rsidRPr="00000000">
        <w:rPr>
          <w:rFonts w:ascii="Arial" w:cs="Arial" w:eastAsia="Arial" w:hAnsi="Arial"/>
          <w:i w:val="1"/>
          <w:sz w:val="20"/>
          <w:szCs w:val="20"/>
          <w:rtl w:val="0"/>
        </w:rPr>
        <w:t xml:space="preserve">V</w:t>
      </w:r>
      <w:r w:rsidDel="00000000" w:rsidR="00000000" w:rsidRPr="00000000">
        <w:rPr>
          <w:rFonts w:ascii="Arial" w:cs="Arial" w:eastAsia="Arial" w:hAnsi="Arial"/>
          <w:i w:val="1"/>
          <w:sz w:val="20"/>
          <w:szCs w:val="20"/>
          <w:vertAlign w:val="subscript"/>
          <w:rtl w:val="0"/>
        </w:rPr>
        <w:t xml:space="preserve">P</w:t>
      </w:r>
      <w:r w:rsidDel="00000000" w:rsidR="00000000" w:rsidRPr="00000000">
        <w:rPr>
          <w:rFonts w:ascii="Arial" w:cs="Arial" w:eastAsia="Arial" w:hAnsi="Arial"/>
          <w:sz w:val="20"/>
          <w:szCs w:val="20"/>
          <w:rtl w:val="0"/>
        </w:rPr>
        <w:t xml:space="preserve">) resultan de 0 a 100, donde se reclasifican en cinco clases de acuerdo con el Cuadro 22.</w:t>
      </w:r>
    </w:p>
    <w:tbl>
      <w:tblPr>
        <w:tblStyle w:val="Table23"/>
        <w:tblW w:w="8600.0" w:type="dxa"/>
        <w:jc w:val="left"/>
        <w:tblLayout w:type="fixed"/>
        <w:tblLook w:val="0400"/>
      </w:tblPr>
      <w:tblGrid>
        <w:gridCol w:w="1887"/>
        <w:gridCol w:w="2344"/>
        <w:gridCol w:w="1190"/>
        <w:gridCol w:w="2532"/>
        <w:gridCol w:w="647"/>
        <w:tblGridChange w:id="0">
          <w:tblGrid>
            <w:gridCol w:w="1887"/>
            <w:gridCol w:w="2344"/>
            <w:gridCol w:w="1190"/>
            <w:gridCol w:w="2532"/>
            <w:gridCol w:w="647"/>
          </w:tblGrid>
        </w:tblGridChange>
      </w:tblGrid>
      <w:tr>
        <w:trPr>
          <w:cantSplit w:val="0"/>
          <w:trHeight w:val="270" w:hRule="atLeast"/>
          <w:tblHeader w:val="0"/>
        </w:trPr>
        <w:tc>
          <w:tcPr>
            <w:gridSpan w:val="5"/>
            <w:tcBorders>
              <w:top w:color="000000" w:space="0" w:sz="0" w:val="nil"/>
              <w:left w:color="000000" w:space="0" w:sz="0" w:val="nil"/>
              <w:bottom w:color="000000" w:space="0" w:sz="4" w:val="single"/>
              <w:right w:color="000000" w:space="0" w:sz="0" w:val="nil"/>
            </w:tcBorders>
            <w:shd w:fill="ffffff" w:val="clear"/>
            <w:vAlign w:val="bottom"/>
          </w:tcPr>
          <w:p w:rsidR="00000000" w:rsidDel="00000000" w:rsidP="00000000" w:rsidRDefault="00000000" w:rsidRPr="00000000" w14:paraId="000004D3">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3vac5uf" w:id="80"/>
            <w:bookmarkEnd w:id="80"/>
            <w:r w:rsidDel="00000000" w:rsidR="00000000" w:rsidRPr="00000000">
              <w:rPr>
                <w:rFonts w:ascii="Arial" w:cs="Arial" w:eastAsia="Arial" w:hAnsi="Arial"/>
                <w:i w:val="1"/>
                <w:color w:val="0e2841"/>
                <w:sz w:val="20"/>
                <w:szCs w:val="20"/>
                <w:rtl w:val="0"/>
              </w:rPr>
              <w:t xml:space="preserve">Cuadro 22. Ponderación del componente valor ponderado.</w:t>
            </w:r>
          </w:p>
        </w:tc>
      </w:tr>
      <w:tr>
        <w:trPr>
          <w:cantSplit w:val="0"/>
          <w:trHeight w:val="270"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D8">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sz w:val="18"/>
                <w:szCs w:val="18"/>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D9">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PONDERACIÓN</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DA">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RANGO</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DB">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DC">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DD">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 aplica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D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D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0">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59,619,753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30.4</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2">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Muy bajo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 a 25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5">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4,612,977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2.4</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7">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Bajo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25 a 40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A">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32,187,312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16.4</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C">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Medio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40 a 48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EF">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51,164,426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26.1</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F1">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Alto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F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F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48 a 55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F4">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29,964,584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15.3</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F6">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Muy alto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F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F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&gt;55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F9">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18,680,157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A">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9.5</w:t>
            </w:r>
          </w:p>
        </w:tc>
      </w:tr>
      <w:tr>
        <w:trPr>
          <w:cantSplit w:val="0"/>
          <w:trHeight w:val="270" w:hRule="atLeast"/>
          <w:tblHeader w:val="0"/>
        </w:trPr>
        <w:tc>
          <w:tcPr>
            <w:gridSpan w:val="3"/>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FB">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FE">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FF">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270" w:hRule="atLeast"/>
          <w:tblHeader w:val="0"/>
        </w:trPr>
        <w:tc>
          <w:tcPr>
            <w:gridSpan w:val="5"/>
            <w:tcBorders>
              <w:top w:color="000000" w:space="0" w:sz="4" w:val="single"/>
              <w:left w:color="000000" w:space="0" w:sz="0" w:val="nil"/>
              <w:bottom w:color="000000" w:space="0" w:sz="0" w:val="nil"/>
              <w:right w:color="000000" w:space="0" w:sz="0" w:val="nil"/>
            </w:tcBorders>
            <w:shd w:fill="ffffff" w:val="clear"/>
            <w:vAlign w:val="center"/>
          </w:tcPr>
          <w:p w:rsidR="00000000" w:rsidDel="00000000" w:rsidP="00000000" w:rsidRDefault="00000000" w:rsidRPr="00000000" w14:paraId="00000500">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 </w:t>
            </w:r>
          </w:p>
        </w:tc>
      </w:tr>
    </w:tbl>
    <w:p w:rsidR="00000000" w:rsidDel="00000000" w:rsidP="00000000" w:rsidRDefault="00000000" w:rsidRPr="00000000" w14:paraId="00000505">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Los estados que poseen mayor porcentaje de superficie en la categoría </w:t>
      </w:r>
      <w:r w:rsidDel="00000000" w:rsidR="00000000" w:rsidRPr="00000000">
        <w:rPr>
          <w:rFonts w:ascii="Arial" w:cs="Arial" w:eastAsia="Arial" w:hAnsi="Arial"/>
          <w:i w:val="1"/>
          <w:sz w:val="20"/>
          <w:szCs w:val="20"/>
          <w:rtl w:val="0"/>
        </w:rPr>
        <w:t xml:space="preserve">Muy alto </w:t>
      </w:r>
      <w:r w:rsidDel="00000000" w:rsidR="00000000" w:rsidRPr="00000000">
        <w:rPr>
          <w:rFonts w:ascii="Arial" w:cs="Arial" w:eastAsia="Arial" w:hAnsi="Arial"/>
          <w:sz w:val="20"/>
          <w:szCs w:val="20"/>
          <w:rtl w:val="0"/>
        </w:rPr>
        <w:t xml:space="preserve">son Campeche, Quintana Roo, Baja California, Oaxaca y Nayarit (Figura 26). En el caso de Campeche, destacando en el criterio ecológico, donde se ubica la reserva la Reserva de la Biósfera Calakmul, Balam Kuú y Balam Kin, que comparte esta importancia con el sitio RAMSAR y el AICA Laguna de Términos. El tipo de vegetación dominante es tropical con selvas altas y medianas, así como en menor proporción en Baja California Norte y sur; que en su mayoría son influidos por el fuego, seguido por los ecosistemas en condiciones especiales donde se encuentran los humedales. Aunque históricamente la incidencia del fuego no es muy frecuente dadas las características de humedad (naturalmente el régimen es de muy rara frecuencia y alta severidad), el conocimiento científico aún es limitado ante su respuesta al fuego. </w:t>
      </w:r>
    </w:p>
    <w:p w:rsidR="00000000" w:rsidDel="00000000" w:rsidP="00000000" w:rsidRDefault="00000000" w:rsidRPr="00000000" w14:paraId="00000506">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De manera similar sucede con Baja California, donde el criterio ecológico es el que resalta los mayores porcentajes. Baja California contiene en su mayoría tipos de vegetación sensible al fuego (i.e. matorrales, humedales, vegetación halófila), que se extienden desde la parte noreste de la ANP Alto Golfo de California hasta el Valle de los Cirios al sur. </w:t>
      </w:r>
    </w:p>
    <w:p w:rsidR="00000000" w:rsidDel="00000000" w:rsidP="00000000" w:rsidRDefault="00000000" w:rsidRPr="00000000" w14:paraId="00000507">
      <w:pPr>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0463" cy="3967479"/>
            <wp:effectExtent b="0" l="0" r="0" t="0"/>
            <wp:docPr id="2101763729" name="image9.png"/>
            <a:graphic>
              <a:graphicData uri="http://schemas.openxmlformats.org/drawingml/2006/picture">
                <pic:pic>
                  <pic:nvPicPr>
                    <pic:cNvPr id="0" name="image9.png"/>
                    <pic:cNvPicPr preferRelativeResize="0"/>
                  </pic:nvPicPr>
                  <pic:blipFill>
                    <a:blip r:embed="rId40"/>
                    <a:srcRect b="0" l="0" r="0" t="0"/>
                    <a:stretch>
                      <a:fillRect/>
                    </a:stretch>
                  </pic:blipFill>
                  <pic:spPr>
                    <a:xfrm>
                      <a:off x="0" y="0"/>
                      <a:ext cx="5610463" cy="3967479"/>
                    </a:xfrm>
                    <a:prstGeom prst="rect"/>
                    <a:ln/>
                  </pic:spPr>
                </pic:pic>
              </a:graphicData>
            </a:graphic>
          </wp:inline>
        </w:drawing>
      </w:r>
      <w:r w:rsidDel="00000000" w:rsidR="00000000" w:rsidRPr="00000000">
        <w:rPr>
          <w:rtl w:val="0"/>
        </w:rPr>
      </w:r>
    </w:p>
    <w:p w:rsidR="00000000" w:rsidDel="00000000" w:rsidP="00000000" w:rsidRDefault="00000000" w:rsidRPr="00000000" w14:paraId="00000508">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r w:rsidDel="00000000" w:rsidR="00000000" w:rsidRPr="00000000">
        <w:rPr>
          <w:rFonts w:ascii="Arial" w:cs="Arial" w:eastAsia="Arial" w:hAnsi="Arial"/>
          <w:i w:val="1"/>
          <w:color w:val="0e2841"/>
          <w:sz w:val="20"/>
          <w:szCs w:val="20"/>
          <w:rtl w:val="0"/>
        </w:rPr>
        <w:t xml:space="preserve">Figura 25. Componente 3: Valor ponderado para el mapa de áreas prioritarias.</w:t>
      </w:r>
    </w:p>
    <w:p w:rsidR="00000000" w:rsidDel="00000000" w:rsidP="00000000" w:rsidRDefault="00000000" w:rsidRPr="00000000" w14:paraId="00000509">
      <w:pPr>
        <w:spacing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Para el caso de Oaxaca y Nayarit, el criterio que juega un papel crucial en el mapa de valor es el socio-cultural, con altos valores de presencia de población indígena y de pobreza multidimensional. Estos aspectos pueden representar impactos negativos al comprometer la integridad social y ecológica de las comunidades frente a los incendios forestales, limitando su capacidad para la atención y prevención en materia del fuego.</w:t>
      </w:r>
    </w:p>
    <w:p w:rsidR="00000000" w:rsidDel="00000000" w:rsidP="00000000" w:rsidRDefault="00000000" w:rsidRPr="00000000" w14:paraId="0000050A">
      <w:pPr>
        <w:spacing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Los métodos de asignar valor a los servicios ambientales que ofrecen los ecosistemas en la actualidad representan un tema de investigación en curso (Badia et al. 2007, Chamberlain y Jones, 2024). Algunos de estos esfuerzos se han concentrado en la evaluación de calidad del agua y aire, índices de biodiversidad, cuestiones de recreación y estética; sin embargo, una de las limitantes es al intentar representar estos aspectos a nivel nacional. Particularmente, se han conservado la mayoría de las variables de la forma como se planteó en la primera metodología, para generar este componente propuesto por CONAFOR (2010), que consideraba 13 variables, la cual consideraba además de las ANP, AICAs y sitios Ramsar, las zonas elegibles hidrológicas, terrestres y de biodiversidad, aunque esto puede causar una infraestimación a la hora de hacer la operación algebraica, considerando que algunas de estas comparten áreas espaciales similares; por ello se redujeron a las 3 primeras, para cuestión ecológica.</w:t>
      </w:r>
    </w:p>
    <w:p w:rsidR="00000000" w:rsidDel="00000000" w:rsidP="00000000" w:rsidRDefault="00000000" w:rsidRPr="00000000" w14:paraId="0000050B">
      <w:pPr>
        <w:spacing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Algunos estudios previos han encontrado que un mayor índice de educación podría requerir una mayor demanda de servicios ecológicos (Rodríguez-Trejo et al., 2008), sin embargo, esto se enfoca principalmente en asentamientos urbanos. En estas áreas, podría abordarse analizando desde la cuestión de las zonas de interfaz urbano-forestal. En el sector rural puede considerarse de forma distinta, tomando en cuenta que el 60 % de los bosques en nuestro país pertenecen a un tipo de tenencia social, i.e. ejidos y comunidades (Bray, 2022); en tanto de los aspectos priobioculturales, es decir, como los conjuntos de diversidad biológica son gestionados, conservados y creados la gran variedad de grupos culturales en nuestro territorio, partiendo de la experiencia historia de estos (Ponce-Calderón et al. 2022), considerando que la causa principal de los incendios forestales son por cuestiones agropecuarias. </w:t>
      </w:r>
    </w:p>
    <w:p w:rsidR="00000000" w:rsidDel="00000000" w:rsidP="00000000" w:rsidRDefault="00000000" w:rsidRPr="00000000" w14:paraId="0000050C">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 posible, al abordar estos aspectos, diseñar estrategias de prevención de incendios forestales que no solo consideren proteger al sistema ecológico de un lugar en determinado, sino que también mejorar el bienestar de las comunidades locales.</w:t>
      </w:r>
    </w:p>
    <w:p w:rsidR="00000000" w:rsidDel="00000000" w:rsidP="00000000" w:rsidRDefault="00000000" w:rsidRPr="00000000" w14:paraId="0000050D">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5617" cy="5620891"/>
            <wp:effectExtent b="0" l="0" r="0" t="0"/>
            <wp:docPr id="2101763730" name="image14.png"/>
            <a:graphic>
              <a:graphicData uri="http://schemas.openxmlformats.org/drawingml/2006/picture">
                <pic:pic>
                  <pic:nvPicPr>
                    <pic:cNvPr id="0" name="image14.png"/>
                    <pic:cNvPicPr preferRelativeResize="0"/>
                  </pic:nvPicPr>
                  <pic:blipFill>
                    <a:blip r:embed="rId41"/>
                    <a:srcRect b="0" l="0" r="0" t="0"/>
                    <a:stretch>
                      <a:fillRect/>
                    </a:stretch>
                  </pic:blipFill>
                  <pic:spPr>
                    <a:xfrm>
                      <a:off x="0" y="0"/>
                      <a:ext cx="5615617" cy="5620891"/>
                    </a:xfrm>
                    <a:prstGeom prst="rect"/>
                    <a:ln/>
                  </pic:spPr>
                </pic:pic>
              </a:graphicData>
            </a:graphic>
          </wp:inline>
        </w:drawing>
      </w:r>
      <w:r w:rsidDel="00000000" w:rsidR="00000000" w:rsidRPr="00000000">
        <w:rPr>
          <w:rtl w:val="0"/>
        </w:rPr>
      </w:r>
    </w:p>
    <w:p w:rsidR="00000000" w:rsidDel="00000000" w:rsidP="00000000" w:rsidRDefault="00000000" w:rsidRPr="00000000" w14:paraId="0000050E">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bookmarkStart w:colFirst="0" w:colLast="0" w:name="_heading=h.2afmg28" w:id="81"/>
      <w:bookmarkEnd w:id="81"/>
      <w:r w:rsidDel="00000000" w:rsidR="00000000" w:rsidRPr="00000000">
        <w:rPr>
          <w:rFonts w:ascii="Arial" w:cs="Arial" w:eastAsia="Arial" w:hAnsi="Arial"/>
          <w:i w:val="1"/>
          <w:color w:val="0e2841"/>
          <w:sz w:val="20"/>
          <w:szCs w:val="20"/>
          <w:rtl w:val="0"/>
        </w:rPr>
        <w:t xml:space="preserve">Figura 26. Distribución proporcional por categoría del componente de valor de acuerdo a la superficie total de cada estado.</w:t>
      </w:r>
    </w:p>
    <w:p w:rsidR="00000000" w:rsidDel="00000000" w:rsidP="00000000" w:rsidRDefault="00000000" w:rsidRPr="00000000" w14:paraId="0000050F">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510">
      <w:pPr>
        <w:pStyle w:val="Heading1"/>
        <w:rPr>
          <w:color w:val="000000"/>
          <w:sz w:val="20"/>
          <w:szCs w:val="20"/>
        </w:rPr>
      </w:pPr>
      <w:bookmarkStart w:colFirst="0" w:colLast="0" w:name="_heading=h.nfqv46l6ybww" w:id="82"/>
      <w:bookmarkEnd w:id="82"/>
      <w:r w:rsidDel="00000000" w:rsidR="00000000" w:rsidRPr="00000000">
        <w:rPr>
          <w:b w:val="1"/>
          <w:color w:val="135b42"/>
          <w:sz w:val="32"/>
          <w:szCs w:val="32"/>
          <w:rtl w:val="0"/>
        </w:rPr>
        <w:t xml:space="preserve">Mapa de áreas prioritarias contra incendios forestales</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wp:posOffset>
                </wp:positionH>
                <wp:positionV relativeFrom="paragraph">
                  <wp:posOffset>635000</wp:posOffset>
                </wp:positionV>
                <wp:extent cx="0" cy="19050"/>
                <wp:effectExtent b="0" l="0" r="0" t="0"/>
                <wp:wrapNone/>
                <wp:docPr id="2101763722" name=""/>
                <a:graphic>
                  <a:graphicData uri="http://schemas.microsoft.com/office/word/2010/wordprocessingShape">
                    <wps:wsp>
                      <wps:cNvCnPr/>
                      <wps:spPr>
                        <a:xfrm>
                          <a:off x="2528823" y="3780000"/>
                          <a:ext cx="5634355" cy="0"/>
                        </a:xfrm>
                        <a:prstGeom prst="straightConnector1">
                          <a:avLst/>
                        </a:prstGeom>
                        <a:noFill/>
                        <a:ln cap="flat" cmpd="sng" w="19050">
                          <a:solidFill>
                            <a:srgbClr val="C0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635000</wp:posOffset>
                </wp:positionV>
                <wp:extent cx="0" cy="19050"/>
                <wp:effectExtent b="0" l="0" r="0" t="0"/>
                <wp:wrapNone/>
                <wp:docPr id="2101763722" name="image23.png"/>
                <a:graphic>
                  <a:graphicData uri="http://schemas.openxmlformats.org/drawingml/2006/picture">
                    <pic:pic>
                      <pic:nvPicPr>
                        <pic:cNvPr id="0" name="image23.png"/>
                        <pic:cNvPicPr preferRelativeResize="0"/>
                      </pic:nvPicPr>
                      <pic:blipFill>
                        <a:blip r:embed="rId18"/>
                        <a:srcRect/>
                        <a:stretch>
                          <a:fillRect/>
                        </a:stretch>
                      </pic:blipFill>
                      <pic:spPr>
                        <a:xfrm>
                          <a:off x="0" y="0"/>
                          <a:ext cx="0" cy="19050"/>
                        </a:xfrm>
                        <a:prstGeom prst="rect"/>
                        <a:ln/>
                      </pic:spPr>
                    </pic:pic>
                  </a:graphicData>
                </a:graphic>
              </wp:anchor>
            </w:drawing>
          </mc:Fallback>
        </mc:AlternateContent>
      </w:r>
    </w:p>
    <w:p w:rsidR="00000000" w:rsidDel="00000000" w:rsidP="00000000" w:rsidRDefault="00000000" w:rsidRPr="00000000" w14:paraId="00000511">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mapa se obtiene mediante álgebra de mapas, es decir, un conjunto de operaciones matemáticas que se aplican a datos espaciales tipo ráster, con el objetivo de obtener nuevas capas que representen patrones determinados (Jiménez </w:t>
      </w:r>
      <w:r w:rsidDel="00000000" w:rsidR="00000000" w:rsidRPr="00000000">
        <w:rPr>
          <w:rFonts w:ascii="Arial" w:cs="Arial" w:eastAsia="Arial" w:hAnsi="Arial"/>
          <w:i w:val="1"/>
          <w:sz w:val="20"/>
          <w:szCs w:val="20"/>
          <w:rtl w:val="0"/>
        </w:rPr>
        <w:t xml:space="preserve">et al.</w:t>
      </w:r>
      <w:r w:rsidDel="00000000" w:rsidR="00000000" w:rsidRPr="00000000">
        <w:rPr>
          <w:rFonts w:ascii="Arial" w:cs="Arial" w:eastAsia="Arial" w:hAnsi="Arial"/>
          <w:sz w:val="20"/>
          <w:szCs w:val="20"/>
          <w:rtl w:val="0"/>
        </w:rPr>
        <w:t xml:space="preserve"> 2008), a partir de los tres componentes y aplicando la Ecuación (3). </w:t>
      </w:r>
    </w:p>
    <w:p w:rsidR="00000000" w:rsidDel="00000000" w:rsidP="00000000" w:rsidRDefault="00000000" w:rsidRPr="00000000" w14:paraId="00000512">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riesgo se encuentra relacionado con la ignición, responde a la cuestión, ¿dónde es más probable que inicie un incendio? Una vez iniciado, ¿dónde es más probable que se presente mayor impacto? Esto lo responde el componente de peligro. El componente de valor atiende, ¿dónde puede afectar más un incendio considerando estos aspectos ecológicos, socio culturales y económicos? Se genera a partir de 12 variables agrupadas en tres componentes, estas se enlistan en el Cuadro 23.</w:t>
      </w:r>
    </w:p>
    <w:tbl>
      <w:tblPr>
        <w:tblStyle w:val="Table24"/>
        <w:tblW w:w="9322.0" w:type="dxa"/>
        <w:jc w:val="left"/>
        <w:tblLayout w:type="fixed"/>
        <w:tblLook w:val="0400"/>
      </w:tblPr>
      <w:tblGrid>
        <w:gridCol w:w="1560"/>
        <w:gridCol w:w="1279"/>
        <w:gridCol w:w="582"/>
        <w:gridCol w:w="5901"/>
        <w:tblGridChange w:id="0">
          <w:tblGrid>
            <w:gridCol w:w="1560"/>
            <w:gridCol w:w="1279"/>
            <w:gridCol w:w="582"/>
            <w:gridCol w:w="5901"/>
          </w:tblGrid>
        </w:tblGridChange>
      </w:tblGrid>
      <w:tr>
        <w:trPr>
          <w:cantSplit w:val="0"/>
          <w:trHeight w:val="270" w:hRule="atLeast"/>
          <w:tblHeader w:val="0"/>
        </w:trPr>
        <w:tc>
          <w:tcPr>
            <w:gridSpan w:val="4"/>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513">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39kk8xu" w:id="83"/>
            <w:bookmarkEnd w:id="83"/>
            <w:r w:rsidDel="00000000" w:rsidR="00000000" w:rsidRPr="00000000">
              <w:rPr>
                <w:rFonts w:ascii="Arial" w:cs="Arial" w:eastAsia="Arial" w:hAnsi="Arial"/>
                <w:i w:val="1"/>
                <w:color w:val="0e2841"/>
                <w:sz w:val="20"/>
                <w:szCs w:val="20"/>
                <w:rtl w:val="0"/>
              </w:rPr>
              <w:t xml:space="preserve">Cuadro 23. Variables que empleadas en mapa de áreas prioritarias en México</w:t>
            </w:r>
          </w:p>
        </w:tc>
      </w:tr>
      <w:tr>
        <w:trPr>
          <w:cantSplit w:val="0"/>
          <w:trHeight w:val="270"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17">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COMPONENTE</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18">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CRITERIO</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19">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AÑO</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1A">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VARIABLE</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RIESGO</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C">
            <w:pPr>
              <w:spacing w:after="0" w:line="240" w:lineRule="auto"/>
              <w:jc w:val="center"/>
              <w:rPr>
                <w:rFonts w:ascii="Arial" w:cs="Arial" w:eastAsia="Arial" w:hAnsi="Arial"/>
                <w:color w:val="000000"/>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1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2020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E">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Riesgo de ocurrencia de incendios forestales</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RIESGO</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0">
            <w:pPr>
              <w:spacing w:after="0" w:line="240" w:lineRule="auto"/>
              <w:jc w:val="center"/>
              <w:rPr>
                <w:rFonts w:ascii="Arial" w:cs="Arial" w:eastAsia="Arial" w:hAnsi="Arial"/>
                <w:color w:val="000000"/>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2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2023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2">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Polígonos de incendios de 2010 a 2023</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PELIGRO</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4">
            <w:pPr>
              <w:spacing w:after="0" w:line="240" w:lineRule="auto"/>
              <w:jc w:val="center"/>
              <w:rPr>
                <w:rFonts w:ascii="Arial" w:cs="Arial" w:eastAsia="Arial" w:hAnsi="Arial"/>
                <w:color w:val="000000"/>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2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2023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6">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Intensidad calórica esperada por nivel de biomasa</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2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VALOR</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28">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Ecológico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29">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2023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2A">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Áreas Naturales Protegidas Y Áreas Destinadas Voluntariamente a la Conservación y cambio climático</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VALOR</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C">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Ecológico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2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2015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2E">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Áreas de Importancia para la Conservación de las Aves</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VALOR</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0">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Ecológico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3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2014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32">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Sitios Ramsar</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VALOR</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4">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Ecológico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3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2018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36">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Clase de respuesta al fuego de acuerdo con el tipo de vegetación</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VALOR</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8">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Socio-cultural</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3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2020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3A">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Presencia de población indígena por municipio</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VALOR</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C">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Socio-cultural</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3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2020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3E">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Pobreza multidimensional por municipio</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F">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VALOR</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0">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Socio-cultural</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4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2023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42">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Índice de nivel delictivo por municipio</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VALOR</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4">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Económico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45">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2024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46">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Predios bajo manejo forestal</w:t>
            </w:r>
          </w:p>
        </w:tc>
      </w:tr>
      <w:tr>
        <w:trPr>
          <w:cantSplit w:val="0"/>
          <w:trHeight w:val="270" w:hRule="atLeast"/>
          <w:tblHeader w:val="0"/>
        </w:trPr>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54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VALOR</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548">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Económico</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4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2018</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4A">
            <w:pPr>
              <w:spacing w:after="0" w:line="240" w:lineRule="auto"/>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Importancia económica por tipo de vegetación</w:t>
            </w:r>
          </w:p>
        </w:tc>
      </w:tr>
      <w:tr>
        <w:trPr>
          <w:cantSplit w:val="0"/>
          <w:trHeight w:val="270" w:hRule="atLeast"/>
          <w:tblHeader w:val="0"/>
        </w:trPr>
        <w:tc>
          <w:tcPr>
            <w:gridSpan w:val="4"/>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 </w:t>
            </w:r>
          </w:p>
        </w:tc>
      </w:tr>
    </w:tbl>
    <w:p w:rsidR="00000000" w:rsidDel="00000000" w:rsidP="00000000" w:rsidRDefault="00000000" w:rsidRPr="00000000" w14:paraId="0000054F">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Ecuación (3) es otra forma de homogeneizar el peso sobre los tres componentes, donde inicialmente se refleja la combinación entre estos mediante su producto; después para poder escalarlo, se multiplica por un factor de 2 y finalmente para distribuir sus valores sobre un rango de 0 a 100 se divide entre el factor 5. </w:t>
      </w:r>
    </w:p>
    <w:p w:rsidR="00000000" w:rsidDel="00000000" w:rsidP="00000000" w:rsidRDefault="00000000" w:rsidRPr="00000000" w14:paraId="00000550">
      <w:pPr>
        <w:jc w:val="both"/>
        <w:rPr>
          <w:rFonts w:ascii="Arial" w:cs="Arial" w:eastAsia="Arial" w:hAnsi="Arial"/>
          <w:i w:val="1"/>
          <w:sz w:val="20"/>
          <w:szCs w:val="20"/>
        </w:rPr>
      </w:pPr>
      <w:r w:rsidDel="00000000" w:rsidR="00000000" w:rsidRPr="00000000">
        <w:rPr>
          <w:rFonts w:ascii="Arial" w:cs="Arial" w:eastAsia="Arial" w:hAnsi="Arial"/>
          <w:sz w:val="20"/>
          <w:szCs w:val="20"/>
          <w:rtl w:val="0"/>
        </w:rPr>
        <w:t xml:space="preserve">Una vez obtenido el </w:t>
      </w:r>
      <w:r w:rsidDel="00000000" w:rsidR="00000000" w:rsidRPr="00000000">
        <w:rPr>
          <w:rFonts w:ascii="Arial" w:cs="Arial" w:eastAsia="Arial" w:hAnsi="Arial"/>
          <w:b w:val="1"/>
          <w:i w:val="1"/>
          <w:sz w:val="20"/>
          <w:szCs w:val="20"/>
          <w:rtl w:val="0"/>
        </w:rPr>
        <w:t xml:space="preserve">M</w:t>
      </w:r>
      <w:r w:rsidDel="00000000" w:rsidR="00000000" w:rsidRPr="00000000">
        <w:rPr>
          <w:rFonts w:ascii="Arial" w:cs="Arial" w:eastAsia="Arial" w:hAnsi="Arial"/>
          <w:b w:val="1"/>
          <w:i w:val="1"/>
          <w:sz w:val="20"/>
          <w:szCs w:val="20"/>
          <w:vertAlign w:val="subscript"/>
          <w:rtl w:val="0"/>
        </w:rPr>
        <w:t xml:space="preserve">APCIF</w:t>
      </w:r>
      <w:r w:rsidDel="00000000" w:rsidR="00000000" w:rsidRPr="00000000">
        <w:rPr>
          <w:rFonts w:ascii="Arial" w:cs="Arial" w:eastAsia="Arial" w:hAnsi="Arial"/>
          <w:i w:val="1"/>
          <w:sz w:val="20"/>
          <w:szCs w:val="20"/>
          <w:rtl w:val="0"/>
        </w:rPr>
        <w:t xml:space="preserve"> </w:t>
      </w:r>
      <w:r w:rsidDel="00000000" w:rsidR="00000000" w:rsidRPr="00000000">
        <w:rPr>
          <w:rFonts w:ascii="Arial" w:cs="Arial" w:eastAsia="Arial" w:hAnsi="Arial"/>
          <w:sz w:val="20"/>
          <w:szCs w:val="20"/>
          <w:rtl w:val="0"/>
        </w:rPr>
        <w:t xml:space="preserve">se reclasifica en seis clases de acuerdo con el Cuadro 24. El mapa se divide en seis categorías: </w:t>
      </w:r>
      <w:r w:rsidDel="00000000" w:rsidR="00000000" w:rsidRPr="00000000">
        <w:rPr>
          <w:rFonts w:ascii="Arial" w:cs="Arial" w:eastAsia="Arial" w:hAnsi="Arial"/>
          <w:i w:val="1"/>
          <w:sz w:val="20"/>
          <w:szCs w:val="20"/>
          <w:rtl w:val="0"/>
        </w:rPr>
        <w:t xml:space="preserve">Muy Bajo, Bajo, Moderado, Alto, Muy Alto</w:t>
      </w:r>
      <w:r w:rsidDel="00000000" w:rsidR="00000000" w:rsidRPr="00000000">
        <w:rPr>
          <w:rFonts w:ascii="Arial" w:cs="Arial" w:eastAsia="Arial" w:hAnsi="Arial"/>
          <w:sz w:val="20"/>
          <w:szCs w:val="20"/>
          <w:rtl w:val="0"/>
        </w:rPr>
        <w:t xml:space="preserve"> y</w:t>
      </w:r>
      <w:r w:rsidDel="00000000" w:rsidR="00000000" w:rsidRPr="00000000">
        <w:rPr>
          <w:rFonts w:ascii="Arial" w:cs="Arial" w:eastAsia="Arial" w:hAnsi="Arial"/>
          <w:i w:val="1"/>
          <w:sz w:val="20"/>
          <w:szCs w:val="20"/>
          <w:rtl w:val="0"/>
        </w:rPr>
        <w:t xml:space="preserve"> No Aplica</w:t>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color w:val="0e2841"/>
          <w:sz w:val="20"/>
          <w:szCs w:val="20"/>
          <w:rtl w:val="0"/>
        </w:rPr>
        <w:t xml:space="preserve">Figura 27</w:t>
      </w: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i w:val="1"/>
          <w:sz w:val="20"/>
          <w:szCs w:val="20"/>
          <w:rtl w:val="0"/>
        </w:rPr>
        <w:t xml:space="preserve">.</w:t>
      </w:r>
    </w:p>
    <w:tbl>
      <w:tblPr>
        <w:tblStyle w:val="Table25"/>
        <w:tblW w:w="882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222"/>
        <w:gridCol w:w="606"/>
        <w:tblGridChange w:id="0">
          <w:tblGrid>
            <w:gridCol w:w="8222"/>
            <w:gridCol w:w="606"/>
          </w:tblGrid>
        </w:tblGridChange>
      </w:tblGrid>
      <w:tr>
        <w:trPr>
          <w:cantSplit w:val="0"/>
          <w:tblHeader w:val="0"/>
        </w:trPr>
        <w:tc>
          <w:tcPr>
            <w:vAlign w:val="center"/>
          </w:tcPr>
          <w:p w:rsidR="00000000" w:rsidDel="00000000" w:rsidP="00000000" w:rsidRDefault="00000000" w:rsidRPr="00000000" w14:paraId="00000551">
            <w:pPr>
              <w:jc w:val="center"/>
              <w:rPr>
                <w:rFonts w:ascii="Arial" w:cs="Arial" w:eastAsia="Arial" w:hAnsi="Arial"/>
                <w:i w:val="1"/>
                <w:sz w:val="20"/>
                <w:szCs w:val="20"/>
              </w:rPr>
            </w:pPr>
            <w:r w:rsidDel="00000000" w:rsidR="00000000" w:rsidRPr="00000000">
              <w:rPr>
                <w:rFonts w:ascii="Arial" w:cs="Arial" w:eastAsia="Arial" w:hAnsi="Arial"/>
                <w:b w:val="1"/>
                <w:i w:val="1"/>
                <w:sz w:val="20"/>
                <w:szCs w:val="20"/>
                <w:rtl w:val="0"/>
              </w:rPr>
              <w:t xml:space="preserve">M</w:t>
            </w:r>
            <w:r w:rsidDel="00000000" w:rsidR="00000000" w:rsidRPr="00000000">
              <w:rPr>
                <w:rFonts w:ascii="Arial" w:cs="Arial" w:eastAsia="Arial" w:hAnsi="Arial"/>
                <w:b w:val="1"/>
                <w:i w:val="1"/>
                <w:sz w:val="20"/>
                <w:szCs w:val="20"/>
                <w:vertAlign w:val="subscript"/>
                <w:rtl w:val="0"/>
              </w:rPr>
              <w:t xml:space="preserve">APCIF</w:t>
            </w:r>
            <w:r w:rsidDel="00000000" w:rsidR="00000000" w:rsidRPr="00000000">
              <w:rPr>
                <w:rFonts w:ascii="Arial" w:cs="Arial" w:eastAsia="Arial" w:hAnsi="Arial"/>
                <w:i w:val="1"/>
                <w:sz w:val="20"/>
                <w:szCs w:val="20"/>
                <w:rtl w:val="0"/>
              </w:rPr>
              <w:t xml:space="preserve"> = (</w:t>
            </w:r>
            <w:r w:rsidDel="00000000" w:rsidR="00000000" w:rsidRPr="00000000">
              <w:rPr>
                <w:rFonts w:ascii="Arial" w:cs="Arial" w:eastAsia="Arial" w:hAnsi="Arial"/>
                <w:b w:val="1"/>
                <w:i w:val="1"/>
                <w:sz w:val="20"/>
                <w:szCs w:val="20"/>
                <w:rtl w:val="0"/>
              </w:rPr>
              <w:t xml:space="preserve">R</w:t>
            </w:r>
            <w:r w:rsidDel="00000000" w:rsidR="00000000" w:rsidRPr="00000000">
              <w:rPr>
                <w:rFonts w:ascii="Arial" w:cs="Arial" w:eastAsia="Arial" w:hAnsi="Arial"/>
                <w:i w:val="1"/>
                <w:sz w:val="20"/>
                <w:szCs w:val="20"/>
                <w:rtl w:val="0"/>
              </w:rPr>
              <w:t xml:space="preserve"> ×</w:t>
            </w:r>
            <w:r w:rsidDel="00000000" w:rsidR="00000000" w:rsidRPr="00000000">
              <w:rPr>
                <w:rFonts w:ascii="Arial" w:cs="Arial" w:eastAsia="Arial" w:hAnsi="Arial"/>
                <w:b w:val="1"/>
                <w:i w:val="1"/>
                <w:sz w:val="20"/>
                <w:szCs w:val="20"/>
                <w:rtl w:val="0"/>
              </w:rPr>
              <w:t xml:space="preserve">P</w:t>
            </w:r>
            <w:r w:rsidDel="00000000" w:rsidR="00000000" w:rsidRPr="00000000">
              <w:rPr>
                <w:rFonts w:ascii="Arial" w:cs="Arial" w:eastAsia="Arial" w:hAnsi="Arial"/>
                <w:i w:val="1"/>
                <w:sz w:val="20"/>
                <w:szCs w:val="20"/>
                <w:rtl w:val="0"/>
              </w:rPr>
              <w:t xml:space="preserve"> × </w:t>
            </w:r>
            <w:r w:rsidDel="00000000" w:rsidR="00000000" w:rsidRPr="00000000">
              <w:rPr>
                <w:rFonts w:ascii="Arial" w:cs="Arial" w:eastAsia="Arial" w:hAnsi="Arial"/>
                <w:b w:val="1"/>
                <w:i w:val="1"/>
                <w:sz w:val="20"/>
                <w:szCs w:val="20"/>
                <w:rtl w:val="0"/>
              </w:rPr>
              <w:t xml:space="preserve">V</w:t>
            </w:r>
            <w:r w:rsidDel="00000000" w:rsidR="00000000" w:rsidRPr="00000000">
              <w:rPr>
                <w:rFonts w:ascii="Arial" w:cs="Arial" w:eastAsia="Arial" w:hAnsi="Arial"/>
                <w:b w:val="1"/>
                <w:i w:val="1"/>
                <w:sz w:val="20"/>
                <w:szCs w:val="20"/>
                <w:vertAlign w:val="subscript"/>
                <w:rtl w:val="0"/>
              </w:rPr>
              <w:t xml:space="preserve">P</w:t>
            </w:r>
            <w:r w:rsidDel="00000000" w:rsidR="00000000" w:rsidRPr="00000000">
              <w:rPr>
                <w:rFonts w:ascii="Arial" w:cs="Arial" w:eastAsia="Arial" w:hAnsi="Arial"/>
                <w:i w:val="1"/>
                <w:sz w:val="20"/>
                <w:szCs w:val="20"/>
                <w:rtl w:val="0"/>
              </w:rPr>
              <w:t xml:space="preserve">) × 2 / 5 </w:t>
            </w:r>
          </w:p>
        </w:tc>
        <w:tc>
          <w:tcPr>
            <w:vAlign w:val="center"/>
          </w:tcPr>
          <w:p w:rsidR="00000000" w:rsidDel="00000000" w:rsidP="00000000" w:rsidRDefault="00000000" w:rsidRPr="00000000" w14:paraId="00000552">
            <w:pPr>
              <w:jc w:val="center"/>
              <w:rPr>
                <w:rFonts w:ascii="Arial" w:cs="Arial" w:eastAsia="Arial" w:hAnsi="Arial"/>
                <w:sz w:val="20"/>
                <w:szCs w:val="20"/>
              </w:rPr>
            </w:pPr>
            <w:bookmarkStart w:colFirst="0" w:colLast="0" w:name="_heading=h.1opuj5n" w:id="84"/>
            <w:bookmarkEnd w:id="84"/>
            <w:r w:rsidDel="00000000" w:rsidR="00000000" w:rsidRPr="00000000">
              <w:rPr>
                <w:rFonts w:ascii="Arial" w:cs="Arial" w:eastAsia="Arial" w:hAnsi="Arial"/>
                <w:sz w:val="20"/>
                <w:szCs w:val="20"/>
                <w:rtl w:val="0"/>
              </w:rPr>
              <w:t xml:space="preserve">3</w:t>
            </w:r>
          </w:p>
        </w:tc>
      </w:tr>
    </w:tbl>
    <w:p w:rsidR="00000000" w:rsidDel="00000000" w:rsidP="00000000" w:rsidRDefault="00000000" w:rsidRPr="00000000" w14:paraId="00000553">
      <w:pPr>
        <w:jc w:val="both"/>
        <w:rPr>
          <w:rFonts w:ascii="Arial" w:cs="Arial" w:eastAsia="Arial" w:hAnsi="Arial"/>
          <w:i w:val="1"/>
          <w:sz w:val="16"/>
          <w:szCs w:val="16"/>
        </w:rPr>
      </w:pPr>
      <w:r w:rsidDel="00000000" w:rsidR="00000000" w:rsidRPr="00000000">
        <w:rPr>
          <w:rFonts w:ascii="Arial" w:cs="Arial" w:eastAsia="Arial" w:hAnsi="Arial"/>
          <w:i w:val="1"/>
          <w:sz w:val="16"/>
          <w:szCs w:val="16"/>
          <w:rtl w:val="0"/>
        </w:rPr>
        <w:t xml:space="preserve">Donde </w:t>
      </w:r>
      <w:r w:rsidDel="00000000" w:rsidR="00000000" w:rsidRPr="00000000">
        <w:rPr>
          <w:rFonts w:ascii="Arial" w:cs="Arial" w:eastAsia="Arial" w:hAnsi="Arial"/>
          <w:b w:val="1"/>
          <w:i w:val="1"/>
          <w:sz w:val="16"/>
          <w:szCs w:val="16"/>
          <w:rtl w:val="0"/>
        </w:rPr>
        <w:t xml:space="preserve">M</w:t>
      </w:r>
      <w:r w:rsidDel="00000000" w:rsidR="00000000" w:rsidRPr="00000000">
        <w:rPr>
          <w:rFonts w:ascii="Arial" w:cs="Arial" w:eastAsia="Arial" w:hAnsi="Arial"/>
          <w:b w:val="1"/>
          <w:i w:val="1"/>
          <w:sz w:val="16"/>
          <w:szCs w:val="16"/>
          <w:vertAlign w:val="subscript"/>
          <w:rtl w:val="0"/>
        </w:rPr>
        <w:t xml:space="preserve">APCIF</w:t>
      </w:r>
      <w:r w:rsidDel="00000000" w:rsidR="00000000" w:rsidRPr="00000000">
        <w:rPr>
          <w:rFonts w:ascii="Arial" w:cs="Arial" w:eastAsia="Arial" w:hAnsi="Arial"/>
          <w:i w:val="1"/>
          <w:sz w:val="16"/>
          <w:szCs w:val="16"/>
          <w:rtl w:val="0"/>
        </w:rPr>
        <w:t xml:space="preserve"> = Mapa de áreas prioritarias contra incendios forestales, </w:t>
      </w:r>
      <w:r w:rsidDel="00000000" w:rsidR="00000000" w:rsidRPr="00000000">
        <w:rPr>
          <w:rFonts w:ascii="Arial" w:cs="Arial" w:eastAsia="Arial" w:hAnsi="Arial"/>
          <w:b w:val="1"/>
          <w:i w:val="1"/>
          <w:sz w:val="16"/>
          <w:szCs w:val="16"/>
          <w:rtl w:val="0"/>
        </w:rPr>
        <w:t xml:space="preserve">R</w:t>
      </w:r>
      <w:r w:rsidDel="00000000" w:rsidR="00000000" w:rsidRPr="00000000">
        <w:rPr>
          <w:rFonts w:ascii="Arial" w:cs="Arial" w:eastAsia="Arial" w:hAnsi="Arial"/>
          <w:i w:val="1"/>
          <w:sz w:val="16"/>
          <w:szCs w:val="16"/>
          <w:rtl w:val="0"/>
        </w:rPr>
        <w:t xml:space="preserve"> = Componente riesgo reclasificado en siete clases, </w:t>
      </w:r>
      <w:r w:rsidDel="00000000" w:rsidR="00000000" w:rsidRPr="00000000">
        <w:rPr>
          <w:rFonts w:ascii="Arial" w:cs="Arial" w:eastAsia="Arial" w:hAnsi="Arial"/>
          <w:b w:val="1"/>
          <w:i w:val="1"/>
          <w:sz w:val="16"/>
          <w:szCs w:val="16"/>
          <w:rtl w:val="0"/>
        </w:rPr>
        <w:t xml:space="preserve">P</w:t>
      </w:r>
      <w:r w:rsidDel="00000000" w:rsidR="00000000" w:rsidRPr="00000000">
        <w:rPr>
          <w:rFonts w:ascii="Arial" w:cs="Arial" w:eastAsia="Arial" w:hAnsi="Arial"/>
          <w:i w:val="1"/>
          <w:sz w:val="16"/>
          <w:szCs w:val="16"/>
          <w:rtl w:val="0"/>
        </w:rPr>
        <w:t xml:space="preserve"> = Componente peligro reclasificado en siete clases, V = Componente valor ponderado, reclasificado en cinco clases.</w:t>
      </w:r>
    </w:p>
    <w:p w:rsidR="00000000" w:rsidDel="00000000" w:rsidP="00000000" w:rsidRDefault="00000000" w:rsidRPr="00000000" w14:paraId="00000554">
      <w:pPr>
        <w:jc w:val="both"/>
        <w:rPr>
          <w:rFonts w:ascii="Arial" w:cs="Arial" w:eastAsia="Arial" w:hAnsi="Arial"/>
          <w:i w:val="1"/>
          <w:sz w:val="16"/>
          <w:szCs w:val="16"/>
        </w:rPr>
      </w:pPr>
      <w:r w:rsidDel="00000000" w:rsidR="00000000" w:rsidRPr="00000000">
        <w:rPr>
          <w:rtl w:val="0"/>
        </w:rPr>
      </w:r>
    </w:p>
    <w:p w:rsidR="00000000" w:rsidDel="00000000" w:rsidP="00000000" w:rsidRDefault="00000000" w:rsidRPr="00000000" w14:paraId="00000555">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556">
      <w:pPr>
        <w:spacing w:after="0"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Además de considerar las 57.6 millones de ha (Mha) correspondientes a las áreas no forestales de la serie 7 de INEGI (2021) (véase Cuadro 4), una vez que se consideran las capas propuestas en el Cuadro 5, esta superficie aumenta hasta casi los 70 Mha (Cuadro 24, </w:t>
      </w:r>
      <w:r w:rsidDel="00000000" w:rsidR="00000000" w:rsidRPr="00000000">
        <w:rPr>
          <w:rFonts w:ascii="Arial" w:cs="Arial" w:eastAsia="Arial" w:hAnsi="Arial"/>
          <w:color w:val="0e2841"/>
          <w:sz w:val="20"/>
          <w:szCs w:val="20"/>
          <w:rtl w:val="0"/>
        </w:rPr>
        <w:t xml:space="preserve">Figura 27</w:t>
      </w:r>
      <w:r w:rsidDel="00000000" w:rsidR="00000000" w:rsidRPr="00000000">
        <w:rPr>
          <w:rFonts w:ascii="Arial" w:cs="Arial" w:eastAsia="Arial" w:hAnsi="Arial"/>
          <w:sz w:val="20"/>
          <w:szCs w:val="20"/>
          <w:rtl w:val="0"/>
        </w:rPr>
        <w:t xml:space="preserve">), esto debido a que se emplean capas con mayor resolución espacial (p. ej. MADMEX de CONABIO (2018) se encuentra 10 m).</w:t>
      </w:r>
    </w:p>
    <w:tbl>
      <w:tblPr>
        <w:tblStyle w:val="Table26"/>
        <w:tblW w:w="8838.0" w:type="dxa"/>
        <w:jc w:val="left"/>
        <w:tblLayout w:type="fixed"/>
        <w:tblLook w:val="0400"/>
      </w:tblPr>
      <w:tblGrid>
        <w:gridCol w:w="1945"/>
        <w:gridCol w:w="1152"/>
        <w:gridCol w:w="2420"/>
        <w:gridCol w:w="2614"/>
        <w:gridCol w:w="707"/>
        <w:tblGridChange w:id="0">
          <w:tblGrid>
            <w:gridCol w:w="1945"/>
            <w:gridCol w:w="1152"/>
            <w:gridCol w:w="2420"/>
            <w:gridCol w:w="2614"/>
            <w:gridCol w:w="707"/>
          </w:tblGrid>
        </w:tblGridChange>
      </w:tblGrid>
      <w:tr>
        <w:trPr>
          <w:cantSplit w:val="0"/>
          <w:trHeight w:val="285" w:hRule="atLeast"/>
          <w:tblHeader w:val="0"/>
        </w:trPr>
        <w:tc>
          <w:tcPr>
            <w:gridSpan w:val="5"/>
            <w:tcBorders>
              <w:top w:color="000000" w:space="0" w:sz="0" w:val="nil"/>
              <w:left w:color="000000" w:space="0" w:sz="0" w:val="nil"/>
              <w:bottom w:color="000000" w:space="0" w:sz="4" w:val="single"/>
              <w:right w:color="000000" w:space="0" w:sz="0" w:val="nil"/>
            </w:tcBorders>
            <w:shd w:fill="ffffff" w:val="clear"/>
            <w:vAlign w:val="center"/>
          </w:tcPr>
          <w:p w:rsidR="00000000" w:rsidDel="00000000" w:rsidP="00000000" w:rsidRDefault="00000000" w:rsidRPr="00000000" w14:paraId="00000557">
            <w:pPr>
              <w:keepNext w:val="1"/>
              <w:pBdr>
                <w:top w:space="0" w:sz="0" w:val="nil"/>
                <w:left w:space="0" w:sz="0" w:val="nil"/>
                <w:bottom w:space="0" w:sz="0" w:val="nil"/>
                <w:right w:space="0" w:sz="0" w:val="nil"/>
                <w:between w:space="0" w:sz="0" w:val="nil"/>
              </w:pBdr>
              <w:spacing w:after="40" w:before="120" w:line="240" w:lineRule="auto"/>
              <w:jc w:val="center"/>
              <w:rPr>
                <w:rFonts w:ascii="Arial" w:cs="Arial" w:eastAsia="Arial" w:hAnsi="Arial"/>
                <w:i w:val="1"/>
                <w:color w:val="0e2841"/>
                <w:sz w:val="20"/>
                <w:szCs w:val="20"/>
              </w:rPr>
            </w:pPr>
            <w:bookmarkStart w:colFirst="0" w:colLast="0" w:name="_heading=h.48pi1tg" w:id="85"/>
            <w:bookmarkEnd w:id="85"/>
            <w:r w:rsidDel="00000000" w:rsidR="00000000" w:rsidRPr="00000000">
              <w:rPr>
                <w:rFonts w:ascii="Arial" w:cs="Arial" w:eastAsia="Arial" w:hAnsi="Arial"/>
                <w:i w:val="1"/>
                <w:color w:val="0e2841"/>
                <w:sz w:val="20"/>
                <w:szCs w:val="20"/>
                <w:rtl w:val="0"/>
              </w:rPr>
              <w:t xml:space="preserve">Cuadro 24. Ponderación del Mapa de áreas prioritarias contra incendios forestales.</w:t>
            </w:r>
          </w:p>
        </w:tc>
      </w:tr>
      <w:tr>
        <w:trPr>
          <w:cantSplit w:val="0"/>
          <w:trHeight w:val="285"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5C">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sz w:val="18"/>
                <w:szCs w:val="18"/>
                <w:rtl w:val="0"/>
              </w:rPr>
              <w:t xml:space="preserve">CATEGORÍA</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5D">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VALOR</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5E">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sz w:val="18"/>
                <w:szCs w:val="18"/>
                <w:rtl w:val="0"/>
              </w:rPr>
              <w:t xml:space="preserve">PONDERACIÓN</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5F">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SUPERFICIE (ha)</w:t>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60">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61">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No aplica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6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6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64">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68,933,414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65">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35.1</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66">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Muy bajo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6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 a 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6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69">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43,553,325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6A">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22.2</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6B">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Bajo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6C">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 a 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6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6E">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23,144,040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6F">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11.8</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70">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Medio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71">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8 a 18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72">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73">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25,964,058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74">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13.2</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75">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Alto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76">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18 a 35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77">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78">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22,258,236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79">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11.3</w:t>
            </w:r>
          </w:p>
        </w:tc>
      </w:tr>
      <w:tr>
        <w:trPr>
          <w:cantSplit w:val="0"/>
          <w:trHeight w:val="285"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7A">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Muy alto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7B">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&gt; 35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7C">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7D">
            <w:pPr>
              <w:spacing w:after="0" w:line="240" w:lineRule="auto"/>
              <w:jc w:val="center"/>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12,376,137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7E">
            <w:pPr>
              <w:spacing w:after="0" w:line="240" w:lineRule="auto"/>
              <w:jc w:val="right"/>
              <w:rPr>
                <w:rFonts w:ascii="Arial" w:cs="Arial" w:eastAsia="Arial" w:hAnsi="Arial"/>
                <w:color w:val="000000"/>
                <w:sz w:val="18"/>
                <w:szCs w:val="18"/>
              </w:rPr>
            </w:pPr>
            <w:r w:rsidDel="00000000" w:rsidR="00000000" w:rsidRPr="00000000">
              <w:rPr>
                <w:rFonts w:ascii="Arial" w:cs="Arial" w:eastAsia="Arial" w:hAnsi="Arial"/>
                <w:color w:val="000000"/>
                <w:sz w:val="18"/>
                <w:szCs w:val="18"/>
                <w:rtl w:val="0"/>
              </w:rPr>
              <w:t xml:space="preserve">6.3</w:t>
            </w:r>
          </w:p>
        </w:tc>
      </w:tr>
      <w:tr>
        <w:trPr>
          <w:cantSplit w:val="0"/>
          <w:trHeight w:val="285" w:hRule="atLeast"/>
          <w:tblHeader w:val="0"/>
        </w:trPr>
        <w:tc>
          <w:tcPr>
            <w:gridSpan w:val="3"/>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7F">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TOTAL:</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82">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196,229,208</w:t>
            </w:r>
          </w:p>
        </w:tc>
        <w:tc>
          <w:tcPr>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583">
            <w:pPr>
              <w:spacing w:after="0" w:line="240" w:lineRule="auto"/>
              <w:jc w:val="right"/>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100</w:t>
            </w:r>
          </w:p>
        </w:tc>
      </w:tr>
      <w:tr>
        <w:trPr>
          <w:cantSplit w:val="0"/>
          <w:trHeight w:val="285" w:hRule="atLeast"/>
          <w:tblHeader w:val="0"/>
        </w:trPr>
        <w:tc>
          <w:tcPr>
            <w:gridSpan w:val="5"/>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584">
            <w:pPr>
              <w:spacing w:after="0" w:line="240" w:lineRule="auto"/>
              <w:jc w:val="center"/>
              <w:rPr>
                <w:rFonts w:ascii="Arial" w:cs="Arial" w:eastAsia="Arial" w:hAnsi="Arial"/>
                <w:b w:val="1"/>
                <w:color w:val="000000"/>
                <w:sz w:val="18"/>
                <w:szCs w:val="18"/>
              </w:rPr>
            </w:pPr>
            <w:r w:rsidDel="00000000" w:rsidR="00000000" w:rsidRPr="00000000">
              <w:rPr>
                <w:rFonts w:ascii="Arial" w:cs="Arial" w:eastAsia="Arial" w:hAnsi="Arial"/>
                <w:b w:val="1"/>
                <w:color w:val="000000"/>
                <w:sz w:val="18"/>
                <w:szCs w:val="18"/>
                <w:rtl w:val="0"/>
              </w:rPr>
              <w:t xml:space="preserve"> </w:t>
            </w:r>
          </w:p>
        </w:tc>
      </w:tr>
    </w:tbl>
    <w:p w:rsidR="00000000" w:rsidDel="00000000" w:rsidP="00000000" w:rsidRDefault="00000000" w:rsidRPr="00000000" w14:paraId="00000589">
      <w:pPr>
        <w:spacing w:after="0" w:lineRule="auto"/>
        <w:jc w:val="center"/>
        <w:rPr>
          <w:rFonts w:ascii="Arial" w:cs="Arial" w:eastAsia="Arial" w:hAnsi="Arial"/>
          <w:i w:val="1"/>
          <w:color w:val="0e2841"/>
          <w:sz w:val="20"/>
          <w:szCs w:val="20"/>
        </w:rPr>
      </w:pPr>
      <w:r w:rsidDel="00000000" w:rsidR="00000000" w:rsidRPr="00000000">
        <w:rPr>
          <w:rFonts w:ascii="Arial" w:cs="Arial" w:eastAsia="Arial" w:hAnsi="Arial"/>
          <w:sz w:val="20"/>
          <w:szCs w:val="20"/>
        </w:rPr>
        <w:drawing>
          <wp:inline distB="0" distT="0" distL="0" distR="0">
            <wp:extent cx="5610464" cy="3967479"/>
            <wp:effectExtent b="0" l="0" r="0" t="0"/>
            <wp:docPr id="2101763731" name="image10.png"/>
            <a:graphic>
              <a:graphicData uri="http://schemas.openxmlformats.org/drawingml/2006/picture">
                <pic:pic>
                  <pic:nvPicPr>
                    <pic:cNvPr id="0" name="image10.png"/>
                    <pic:cNvPicPr preferRelativeResize="0"/>
                  </pic:nvPicPr>
                  <pic:blipFill>
                    <a:blip r:embed="rId42"/>
                    <a:srcRect b="0" l="0" r="0" t="0"/>
                    <a:stretch>
                      <a:fillRect/>
                    </a:stretch>
                  </pic:blipFill>
                  <pic:spPr>
                    <a:xfrm>
                      <a:off x="0" y="0"/>
                      <a:ext cx="5610464" cy="3967479"/>
                    </a:xfrm>
                    <a:prstGeom prst="rect"/>
                    <a:ln/>
                  </pic:spPr>
                </pic:pic>
              </a:graphicData>
            </a:graphic>
          </wp:inline>
        </w:drawing>
      </w:r>
      <w:r w:rsidDel="00000000" w:rsidR="00000000" w:rsidRPr="00000000">
        <w:rPr>
          <w:rtl w:val="0"/>
        </w:rPr>
      </w:r>
    </w:p>
    <w:p w:rsidR="00000000" w:rsidDel="00000000" w:rsidP="00000000" w:rsidRDefault="00000000" w:rsidRPr="00000000" w14:paraId="0000058A">
      <w:pPr>
        <w:spacing w:after="0" w:lineRule="auto"/>
        <w:jc w:val="center"/>
        <w:rPr>
          <w:rFonts w:ascii="Arial" w:cs="Arial" w:eastAsia="Arial" w:hAnsi="Arial"/>
          <w:sz w:val="20"/>
          <w:szCs w:val="20"/>
        </w:rPr>
      </w:pPr>
      <w:bookmarkStart w:colFirst="0" w:colLast="0" w:name="_heading=h.2nusc19" w:id="86"/>
      <w:bookmarkEnd w:id="86"/>
      <w:r w:rsidDel="00000000" w:rsidR="00000000" w:rsidRPr="00000000">
        <w:rPr>
          <w:rFonts w:ascii="Arial" w:cs="Arial" w:eastAsia="Arial" w:hAnsi="Arial"/>
          <w:i w:val="1"/>
          <w:color w:val="0e2841"/>
          <w:sz w:val="20"/>
          <w:szCs w:val="20"/>
          <w:rtl w:val="0"/>
        </w:rPr>
        <w:t xml:space="preserve">Figura 27. Áreas prioritarias de protección contra incendios forestales 2024 para México.</w:t>
      </w:r>
      <w:r w:rsidDel="00000000" w:rsidR="00000000" w:rsidRPr="00000000">
        <w:rPr>
          <w:rtl w:val="0"/>
        </w:rPr>
      </w:r>
    </w:p>
    <w:p w:rsidR="00000000" w:rsidDel="00000000" w:rsidP="00000000" w:rsidRDefault="00000000" w:rsidRPr="00000000" w14:paraId="0000058B">
      <w:pPr>
        <w:spacing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información proporcionada en la Figura 28 representa la distribución porcentual de la superficie en cada estado de la República Mexicana según las categorías de prioridad del MAPPCIF. Aproximadamente, un poco más del 18 % de la superficie forestal en nuestro país, se encuentran los niveles más altos (alto y muy alto), equivalentes a casi 34 Mha. Estados como Quintana Roo, Campeche y Oaxaca presentan los porcentajes más elevados en estas dos categorías. </w:t>
      </w:r>
    </w:p>
    <w:p w:rsidR="00000000" w:rsidDel="00000000" w:rsidP="00000000" w:rsidRDefault="00000000" w:rsidRPr="00000000" w14:paraId="0000058C">
      <w:pPr>
        <w:spacing w:before="12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Esto puede ser explicado con lo que reportaron Pagan y otros (2021), quienes analizaron las tendencias del uso del fuego para limpiar y mantener las áreas agrícolas en la región sureste de México. La implementación de programas sociales que apoyan a pequeños productores a este sector y condiciones de baja precipitación provocó un aumento del 98 % de permisos estatales autorizados para quemas agrícolas en un periodo de 2015 a 2018.En 2019 los registros de puntos de calor del sensor MODIS mostraron un incremento del 33 %,en este año se implementó el apoyo gubernamental. Dada la importancia ecológica que representan estos ecosistemas en la región, el MAPPCIF resalta la prioridad para el monitoreo de las actividades agrícolas. Adicionalmente, las áreas donde se resaltan las categorías más altas (alto y muy alto), se ubican sobre zonas, en gran medida turísticas, como son Cancún y Chetumal.</w:t>
      </w:r>
    </w:p>
    <w:p w:rsidR="00000000" w:rsidDel="00000000" w:rsidP="00000000" w:rsidRDefault="00000000" w:rsidRPr="00000000" w14:paraId="0000058D">
      <w:pPr>
        <w:spacing w:after="0" w:lineRule="auto"/>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613544" cy="5623569"/>
            <wp:effectExtent b="0" l="0" r="0" t="0"/>
            <wp:docPr id="2101763732" name="image11.png"/>
            <a:graphic>
              <a:graphicData uri="http://schemas.openxmlformats.org/drawingml/2006/picture">
                <pic:pic>
                  <pic:nvPicPr>
                    <pic:cNvPr id="0" name="image11.png"/>
                    <pic:cNvPicPr preferRelativeResize="0"/>
                  </pic:nvPicPr>
                  <pic:blipFill>
                    <a:blip r:embed="rId43"/>
                    <a:srcRect b="0" l="0" r="0" t="0"/>
                    <a:stretch>
                      <a:fillRect/>
                    </a:stretch>
                  </pic:blipFill>
                  <pic:spPr>
                    <a:xfrm>
                      <a:off x="0" y="0"/>
                      <a:ext cx="5613544" cy="5623569"/>
                    </a:xfrm>
                    <a:prstGeom prst="rect"/>
                    <a:ln/>
                  </pic:spPr>
                </pic:pic>
              </a:graphicData>
            </a:graphic>
          </wp:inline>
        </w:drawing>
      </w:r>
      <w:r w:rsidDel="00000000" w:rsidR="00000000" w:rsidRPr="00000000">
        <w:rPr>
          <w:rtl w:val="0"/>
        </w:rPr>
      </w:r>
    </w:p>
    <w:p w:rsidR="00000000" w:rsidDel="00000000" w:rsidP="00000000" w:rsidRDefault="00000000" w:rsidRPr="00000000" w14:paraId="0000058E">
      <w:pPr>
        <w:keepNext w:val="1"/>
        <w:pBdr>
          <w:top w:space="0" w:sz="0" w:val="nil"/>
          <w:left w:space="0" w:sz="0" w:val="nil"/>
          <w:bottom w:space="0" w:sz="0" w:val="nil"/>
          <w:right w:space="0" w:sz="0" w:val="nil"/>
          <w:between w:space="0" w:sz="0" w:val="nil"/>
        </w:pBdr>
        <w:spacing w:after="40" w:line="240" w:lineRule="auto"/>
        <w:jc w:val="center"/>
        <w:rPr>
          <w:rFonts w:ascii="Arial" w:cs="Arial" w:eastAsia="Arial" w:hAnsi="Arial"/>
          <w:i w:val="1"/>
          <w:color w:val="0e2841"/>
          <w:sz w:val="20"/>
          <w:szCs w:val="20"/>
        </w:rPr>
      </w:pPr>
      <w:bookmarkStart w:colFirst="0" w:colLast="0" w:name="_heading=h.1302m92" w:id="87"/>
      <w:bookmarkEnd w:id="87"/>
      <w:r w:rsidDel="00000000" w:rsidR="00000000" w:rsidRPr="00000000">
        <w:rPr>
          <w:rFonts w:ascii="Arial" w:cs="Arial" w:eastAsia="Arial" w:hAnsi="Arial"/>
          <w:i w:val="1"/>
          <w:color w:val="0e2841"/>
          <w:sz w:val="20"/>
          <w:szCs w:val="20"/>
          <w:rtl w:val="0"/>
        </w:rPr>
        <w:t xml:space="preserve">Figura 28. Distribución proporcional por categoría del MAPPCIF24 de acuerdo a la superficie total de cada estado.</w:t>
      </w:r>
    </w:p>
    <w:p w:rsidR="00000000" w:rsidDel="00000000" w:rsidP="00000000" w:rsidRDefault="00000000" w:rsidRPr="00000000" w14:paraId="0000058F">
      <w:pPr>
        <w:spacing w:before="12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590">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591">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592">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Jalisco, Michoacán y Guerrero también destacan por tener porcentajes significativos en categorías de mayor prioridad. Jalisco cuenta con 19 % en alto y 12 % de muy alto. Michoacán con 20 y 9 %; Guerrero 21 y 10 % respectivamente. En Jalisco resalta la parte suroeste, donde se encuentra la Reserva de la Biosfera de la Sierra de Manantlán (RBSM), el Nevado de Colima y la Sierra de Quila. En donde se distribuye un gradiente interesante de tipos de vegetación de bosques templados en las partes altas y selvas en las partes bajas. Jardel et al. (2004), encontró que las propiedades privadas se queman en mayor proporción que las tierras de tenencia social (ejidos y comunidades) en el análisis de la incidencia de incendios forestales en la RBSM entre 1995 a 2003. En Michoacán uno de los aspectos que influye en la presencia de incendios es la tala clandestina sobre todo en bosques de pino-encino alrededor del municipio de Uruapan (Córdova et al. 2024).</w:t>
      </w:r>
    </w:p>
    <w:p w:rsidR="00000000" w:rsidDel="00000000" w:rsidP="00000000" w:rsidRDefault="00000000" w:rsidRPr="00000000" w14:paraId="00000593">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En estados como Chihuahua y Durango, la distribución de las categorías altas se observa principalmente en las zonas templadas de la Sierra Madre Occidental. Esto coincide con la ocurrencia de incendios que predominan sobre esta región. La alteración de los regímenes naturales del fuego altera la dinámica ecológica de los ecosistemas templados, como lo indica el estudio de Cerano-Paredes et al. (2021), donde encontró que la supresión del fuego durante más de seis décadas, ha provocado una acumulación significativa de combustibles forestales, incrementando el riesgo y peligro de estos. </w:t>
      </w:r>
    </w:p>
    <w:p w:rsidR="00000000" w:rsidDel="00000000" w:rsidP="00000000" w:rsidRDefault="00000000" w:rsidRPr="00000000" w14:paraId="00000594">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 relevante mencionar que los estados donde la mayoría de la superficie con la que cuentan se distribuye en la categoría de áreas no forestales (</w:t>
      </w:r>
      <w:r w:rsidDel="00000000" w:rsidR="00000000" w:rsidRPr="00000000">
        <w:rPr>
          <w:rFonts w:ascii="Arial" w:cs="Arial" w:eastAsia="Arial" w:hAnsi="Arial"/>
          <w:i w:val="1"/>
          <w:sz w:val="20"/>
          <w:szCs w:val="20"/>
          <w:rtl w:val="0"/>
        </w:rPr>
        <w:t xml:space="preserve">no aplica) </w:t>
      </w:r>
      <w:r w:rsidDel="00000000" w:rsidR="00000000" w:rsidRPr="00000000">
        <w:rPr>
          <w:rFonts w:ascii="Arial" w:cs="Arial" w:eastAsia="Arial" w:hAnsi="Arial"/>
          <w:sz w:val="20"/>
          <w:szCs w:val="20"/>
          <w:rtl w:val="0"/>
        </w:rPr>
        <w:t xml:space="preserve">son Tlaxcala, Tabasco, Colima, Morelos y Ciudad de México. Aunque es importante monitorear la dinámica de los factores sociales (crecimiento de la mancha humana), se deben enfatizar aspectos de conservación, protección y restauración de las áreas forestales aún remanentes de los estados, especialmente porque albergan altos niveles de biodiversidad.</w:t>
      </w:r>
    </w:p>
    <w:p w:rsidR="00000000" w:rsidDel="00000000" w:rsidP="00000000" w:rsidRDefault="00000000" w:rsidRPr="00000000" w14:paraId="0000059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596">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597">
      <w:pPr>
        <w:pStyle w:val="Heading1"/>
        <w:rPr>
          <w:b w:val="1"/>
          <w:color w:val="135b42"/>
          <w:sz w:val="32"/>
          <w:szCs w:val="32"/>
        </w:rPr>
      </w:pPr>
      <w:bookmarkStart w:colFirst="0" w:colLast="0" w:name="_heading=h.w9k2ywz5zxqp" w:id="88"/>
      <w:bookmarkEnd w:id="88"/>
      <w:r w:rsidDel="00000000" w:rsidR="00000000" w:rsidRPr="00000000">
        <w:rPr>
          <w:b w:val="1"/>
          <w:color w:val="135b42"/>
          <w:sz w:val="32"/>
          <w:szCs w:val="32"/>
          <w:rtl w:val="0"/>
        </w:rPr>
        <w:t xml:space="preserve">Conclusiones y recomendaciones</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wp:posOffset>
                </wp:positionH>
                <wp:positionV relativeFrom="paragraph">
                  <wp:posOffset>304800</wp:posOffset>
                </wp:positionV>
                <wp:extent cx="0" cy="19050"/>
                <wp:effectExtent b="0" l="0" r="0" t="0"/>
                <wp:wrapNone/>
                <wp:docPr id="2101763724" name=""/>
                <a:graphic>
                  <a:graphicData uri="http://schemas.microsoft.com/office/word/2010/wordprocessingShape">
                    <wps:wsp>
                      <wps:cNvCnPr/>
                      <wps:spPr>
                        <a:xfrm>
                          <a:off x="2528823" y="3780000"/>
                          <a:ext cx="5634355" cy="0"/>
                        </a:xfrm>
                        <a:prstGeom prst="straightConnector1">
                          <a:avLst/>
                        </a:prstGeom>
                        <a:noFill/>
                        <a:ln cap="flat" cmpd="sng" w="19050">
                          <a:solidFill>
                            <a:srgbClr val="C0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304800</wp:posOffset>
                </wp:positionV>
                <wp:extent cx="0" cy="19050"/>
                <wp:effectExtent b="0" l="0" r="0" t="0"/>
                <wp:wrapNone/>
                <wp:docPr id="2101763724" name="image35.png"/>
                <a:graphic>
                  <a:graphicData uri="http://schemas.openxmlformats.org/drawingml/2006/picture">
                    <pic:pic>
                      <pic:nvPicPr>
                        <pic:cNvPr id="0" name="image35.png"/>
                        <pic:cNvPicPr preferRelativeResize="0"/>
                      </pic:nvPicPr>
                      <pic:blipFill>
                        <a:blip r:embed="rId18"/>
                        <a:srcRect/>
                        <a:stretch>
                          <a:fillRect/>
                        </a:stretch>
                      </pic:blipFill>
                      <pic:spPr>
                        <a:xfrm>
                          <a:off x="0" y="0"/>
                          <a:ext cx="0" cy="19050"/>
                        </a:xfrm>
                        <a:prstGeom prst="rect"/>
                        <a:ln/>
                      </pic:spPr>
                    </pic:pic>
                  </a:graphicData>
                </a:graphic>
              </wp:anchor>
            </w:drawing>
          </mc:Fallback>
        </mc:AlternateContent>
      </w:r>
    </w:p>
    <w:p w:rsidR="00000000" w:rsidDel="00000000" w:rsidP="00000000" w:rsidRDefault="00000000" w:rsidRPr="00000000" w14:paraId="00000598">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El enfoque MIF ha demostrado ser fundamental para considerar el uso del fuego en donde se necesita, promoviendo los impactos positivos que busquen la conservación y el manejo sustentable de los recursos naturales. La creación del mapa se basa en el análisis multicriterio que incorpora: riesgo, peligro y valor con la finalidad de servir como una herramienta digital y como instrumento de planificación dentro de esta visión integral del MIF. El MAPPCIF es indispensable para fortalecer la toma de decisiones, optimizar la asignación de recursos y mejorar las estrategias de prevención y combate de incendios forestales, contribuyendo así a la conservación de la biodiversidad y al bienestar de las comunidades.</w:t>
      </w:r>
    </w:p>
    <w:p w:rsidR="00000000" w:rsidDel="00000000" w:rsidP="00000000" w:rsidRDefault="00000000" w:rsidRPr="00000000" w14:paraId="00000599">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 importante recalcar que la escala empleada en este producto, a nivel nacional representa un reto dada la gran diversidad con la que cuenta nuestro país (i.e. biológica, climatológica, orográfica, económica y cultural). Esto tiene implicación para formular trabajos de investigación futuros, en un nivel más detallado o de alta resolución, considerando variables locales, pueden ver casos donde algunas de las variables no tengan algún efecto (como lugares donde no cuenten con áreas naturales protegidas, que no se cuente con registro de área quemada, entre otros), teniendo en cuenta que alguna modificación o adaptación a la metodología y/o variables deberá justificarse en este sentido. </w:t>
      </w:r>
    </w:p>
    <w:p w:rsidR="00000000" w:rsidDel="00000000" w:rsidP="00000000" w:rsidRDefault="00000000" w:rsidRPr="00000000" w14:paraId="0000059A">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De igual forma, se ha destacado la importancia del factor antrópico en la ocurrencia de incendios forestales en nuestro país. En este aspecto, el Mapa de Áreas Prioritarias de Protección Contra Incendios Forestales 2024 (MAPPCIF 24) enfatiza la relevancia de considerar no solo las características ecológicas, sino también los factores socio-culturales y económicos (i.e. tenencia de la tierra, pobreza multidimensional, actividad productiva). Estudios posteriores podrán encaminarse en replantear el concepto de valor, considerando que este componente procura determinar el daño potencial comercial (bienes tangibles: carreteras, estructuras de asentamientos humanos en zonas forestales o sobre la periferia de estas) y social (bienes y servicios intangibles que proveen los recursos naturales). Integrar el conocimiento de las comunidades desde un enfoque participativo, sustentadas bajo un método científico determinado (o en su caso mixto), fomentando prácticas sostenibles de uso del suelo para desarrollar estrategias efectivas de manejo del fuego que permitan reducir la presencia de incendios severos, protegiendo así la biodiversidad y los recursos naturales de regiones con categorías </w:t>
      </w:r>
      <w:r w:rsidDel="00000000" w:rsidR="00000000" w:rsidRPr="00000000">
        <w:rPr>
          <w:rFonts w:ascii="Arial" w:cs="Arial" w:eastAsia="Arial" w:hAnsi="Arial"/>
          <w:i w:val="1"/>
          <w:sz w:val="20"/>
          <w:szCs w:val="20"/>
          <w:rtl w:val="0"/>
        </w:rPr>
        <w:t xml:space="preserve">alta </w:t>
      </w:r>
      <w:r w:rsidDel="00000000" w:rsidR="00000000" w:rsidRPr="00000000">
        <w:rPr>
          <w:rFonts w:ascii="Arial" w:cs="Arial" w:eastAsia="Arial" w:hAnsi="Arial"/>
          <w:sz w:val="20"/>
          <w:szCs w:val="20"/>
          <w:rtl w:val="0"/>
        </w:rPr>
        <w:t xml:space="preserve">y </w:t>
      </w:r>
      <w:r w:rsidDel="00000000" w:rsidR="00000000" w:rsidRPr="00000000">
        <w:rPr>
          <w:rFonts w:ascii="Arial" w:cs="Arial" w:eastAsia="Arial" w:hAnsi="Arial"/>
          <w:i w:val="1"/>
          <w:sz w:val="20"/>
          <w:szCs w:val="20"/>
          <w:rtl w:val="0"/>
        </w:rPr>
        <w:t xml:space="preserve">muy alta</w:t>
      </w:r>
      <w:r w:rsidDel="00000000" w:rsidR="00000000" w:rsidRPr="00000000">
        <w:rPr>
          <w:rFonts w:ascii="Arial" w:cs="Arial" w:eastAsia="Arial" w:hAnsi="Arial"/>
          <w:sz w:val="20"/>
          <w:szCs w:val="20"/>
          <w:rtl w:val="0"/>
        </w:rPr>
        <w:t xml:space="preserve"> del MAPPCIF24. </w:t>
      </w:r>
    </w:p>
    <w:p w:rsidR="00000000" w:rsidDel="00000000" w:rsidP="00000000" w:rsidRDefault="00000000" w:rsidRPr="00000000" w14:paraId="0000059B">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Una de estas prácticas es la aplicación de quemas prescritas, que fungen una herramienta que llega a potencializar los efectos positivos del fuego (CONAFOR, 2024d), al ser planificada considerando las áreas prioritarias identificadas en el MAPPCIF 24, permite reducir la acumulación de combustibles forestales y disminuir el peligro de incendios de gran intensidad en lugares convenientes. Integrar este conocimiento multidisciplinario fortalece la capacidad de prevenir y manejar incendios forestales, protegiendo no solo los ecosistemas, sino también las comunidades que dependen de ellos.</w:t>
      </w:r>
    </w:p>
    <w:p w:rsidR="00000000" w:rsidDel="00000000" w:rsidP="00000000" w:rsidRDefault="00000000" w:rsidRPr="00000000" w14:paraId="0000059C">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Un aspecto destacado de este mapa es su capacidad para identificar comunidades vulnerables en áreas prioritarias, promoviendo la planificación de acciones que fortalezcan su resiliencia ante incendios forestales. Al visualizar estas zonas de manera geoespacial, se facilita la coordinación interinstitucional para implementar estrategias que incluyan educación, equipamiento y medidas preventivas basadas en el manejo integral del fuego. Este enfoque promueve no solo la adaptación de las comunidades al fuego, sino también su participación activa en la conservación de los ecosistemas, reconociendo el papel del fuego como una herramienta ecológica en entornos adaptados.</w:t>
      </w:r>
    </w:p>
    <w:p w:rsidR="00000000" w:rsidDel="00000000" w:rsidP="00000000" w:rsidRDefault="00000000" w:rsidRPr="00000000" w14:paraId="0000059D">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implementación del mapa como instrumento de manejo de incendios forestales tiene múltiples beneficios. En primer lugar, se destaca su objetivo principal, que busca fortalecer la toma de decisiones técnicas y operativas, facilitando la distribución óptima de recursos disponibles hacia lugares de mayor prioridad. Por otro lado, la metodología propuesta para el desarrollo del mapa busca mejorar la capacidad de respuesta ante la atención de emergencias, para desplegar equipos de combate de manera estratégica, efectiva y segura, priorizando aquellas zonas donde se presenten incendios de comportamiento y/o severidad extrema. </w:t>
      </w:r>
    </w:p>
    <w:p w:rsidR="00000000" w:rsidDel="00000000" w:rsidP="00000000" w:rsidRDefault="00000000" w:rsidRPr="00000000" w14:paraId="0000059E">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Desde el punto de vista de la prevención, promueve aquellas áreas en donde pueden ejecutarse actividades para el manejo de combustibles tanto mecánicas como haciendo uso de fuego para reducir la incidencia de incendios forestales dañinos. Esto es un punto focal que atiende al Programa de Manejo del Fuego de México, el cual, busca fomentar este tipo de proyectos, con la finalidad de facilitar y fomentar la gestión de las áreas forestales, considerando el fuego como una herramienta de manejo forestal.</w:t>
      </w:r>
    </w:p>
    <w:p w:rsidR="00000000" w:rsidDel="00000000" w:rsidP="00000000" w:rsidRDefault="00000000" w:rsidRPr="00000000" w14:paraId="0000059F">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Este enfoque integral permite una evaluación óptima de las áreas forestales en México, reflejada en el mapa mediante una escala de 0 a 100. En esta escala se dividen seis categorías de priorización, que resaltan los lugares donde se debe enfocar o asignar recursos en materia del fuego. Aproximadamente el 18 % de la superficie nacional se encuentra en una categoría de prioridad alta-muy alta, al norte sobre las grandes cadenas montañosas de la Sierra Madre Occidental y Oriental, al centro se extiende sobre el Eje Neovolcánico hasta las Sierra Madre del Sur, así como la Península de Yucatán.</w:t>
      </w:r>
    </w:p>
    <w:p w:rsidR="00000000" w:rsidDel="00000000" w:rsidP="00000000" w:rsidRDefault="00000000" w:rsidRPr="00000000" w14:paraId="000005A0">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Para garantizar una distribución óptima de los recursos, es necesario considerar que la transformación social se encuentra en constante cambio, lo cual deriva en modificaciones del uso del suelo cambios en programas de apoyo y/o en la política pública en materia de incendios forestales, el cambio climático que altera las condiciones ambientales, por lo tanto, la frecuencia e intensidad del fuego y finalmente el desarrollo de nuevas tecnologías implica que el mapa se actualice por lo menos dentro de un periodo de 4 años, asegurando que las estrategias de prevención y combate de incendios se encuentren alineadas con la realidad actual del momento presente.</w:t>
      </w:r>
    </w:p>
    <w:p w:rsidR="00000000" w:rsidDel="00000000" w:rsidP="00000000" w:rsidRDefault="00000000" w:rsidRPr="00000000" w14:paraId="000005A1">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5A2">
      <w:pPr>
        <w:pStyle w:val="Heading1"/>
        <w:rPr>
          <w:b w:val="1"/>
          <w:color w:val="135b42"/>
          <w:sz w:val="32"/>
          <w:szCs w:val="32"/>
        </w:rPr>
      </w:pPr>
      <w:bookmarkStart w:colFirst="0" w:colLast="0" w:name="_heading=h.f335o26nurzb" w:id="89"/>
      <w:bookmarkEnd w:id="89"/>
      <w:r w:rsidDel="00000000" w:rsidR="00000000" w:rsidRPr="00000000">
        <w:rPr>
          <w:b w:val="1"/>
          <w:color w:val="135b42"/>
          <w:sz w:val="32"/>
          <w:szCs w:val="32"/>
          <w:rtl w:val="0"/>
        </w:rPr>
        <w:t xml:space="preserve">Referencias bibliográficas</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wp:posOffset>
                </wp:positionH>
                <wp:positionV relativeFrom="paragraph">
                  <wp:posOffset>419100</wp:posOffset>
                </wp:positionV>
                <wp:extent cx="0" cy="19050"/>
                <wp:effectExtent b="0" l="0" r="0" t="0"/>
                <wp:wrapNone/>
                <wp:docPr id="2101763721" name=""/>
                <a:graphic>
                  <a:graphicData uri="http://schemas.microsoft.com/office/word/2010/wordprocessingShape">
                    <wps:wsp>
                      <wps:cNvCnPr/>
                      <wps:spPr>
                        <a:xfrm>
                          <a:off x="2528823" y="3780000"/>
                          <a:ext cx="5634355" cy="0"/>
                        </a:xfrm>
                        <a:prstGeom prst="straightConnector1">
                          <a:avLst/>
                        </a:prstGeom>
                        <a:noFill/>
                        <a:ln cap="flat" cmpd="sng" w="19050">
                          <a:solidFill>
                            <a:srgbClr val="C0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419100</wp:posOffset>
                </wp:positionV>
                <wp:extent cx="0" cy="19050"/>
                <wp:effectExtent b="0" l="0" r="0" t="0"/>
                <wp:wrapNone/>
                <wp:docPr id="2101763721" name="image20.png"/>
                <a:graphic>
                  <a:graphicData uri="http://schemas.openxmlformats.org/drawingml/2006/picture">
                    <pic:pic>
                      <pic:nvPicPr>
                        <pic:cNvPr id="0" name="image20.png"/>
                        <pic:cNvPicPr preferRelativeResize="0"/>
                      </pic:nvPicPr>
                      <pic:blipFill>
                        <a:blip r:embed="rId18"/>
                        <a:srcRect/>
                        <a:stretch>
                          <a:fillRect/>
                        </a:stretch>
                      </pic:blipFill>
                      <pic:spPr>
                        <a:xfrm>
                          <a:off x="0" y="0"/>
                          <a:ext cx="0" cy="19050"/>
                        </a:xfrm>
                        <a:prstGeom prst="rect"/>
                        <a:ln/>
                      </pic:spPr>
                    </pic:pic>
                  </a:graphicData>
                </a:graphic>
              </wp:anchor>
            </w:drawing>
          </mc:Fallback>
        </mc:AlternateContent>
      </w:r>
    </w:p>
    <w:p w:rsidR="00000000" w:rsidDel="00000000" w:rsidP="00000000" w:rsidRDefault="00000000" w:rsidRPr="00000000" w14:paraId="000005A3">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BIENESTAR. (2004). Ley General de Desarrollo Social. Secretaría de Bienestar. Diario Oficial de la Federación. Recuperado 2024 abril 28 en </w:t>
      </w:r>
      <w:hyperlink r:id="rId44">
        <w:r w:rsidDel="00000000" w:rsidR="00000000" w:rsidRPr="00000000">
          <w:rPr>
            <w:rFonts w:ascii="Arial" w:cs="Arial" w:eastAsia="Arial" w:hAnsi="Arial"/>
            <w:color w:val="467886"/>
            <w:sz w:val="20"/>
            <w:szCs w:val="20"/>
            <w:u w:val="single"/>
            <w:rtl w:val="0"/>
          </w:rPr>
          <w:t xml:space="preserve">https://www.diputados.gob.mx/LeyesBiblio/pdf/LGDS.pdf</w:t>
        </w:r>
      </w:hyperlink>
      <w:r w:rsidDel="00000000" w:rsidR="00000000" w:rsidRPr="00000000">
        <w:rPr>
          <w:rtl w:val="0"/>
        </w:rPr>
      </w:r>
    </w:p>
    <w:p w:rsidR="00000000" w:rsidDel="00000000" w:rsidP="00000000" w:rsidRDefault="00000000" w:rsidRPr="00000000" w14:paraId="000005A4">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Briones-Herrera, C.I.; Silva-Cardoza, A.I.; Vega-Nieva, D.J.; Briseño-Reyes, J. 2023. Manual de usuario de las herramientas de mapeo de área quemada y severidad de incendios forestales a partir de imágenes Sentinel. Fondo Sectorial para la Investigación, el Desarrollo y la Innovación Tecnológica y Forestal CONAFOR-CONACYT, proyecto CONAFOR-CONACYT-2018-C02-B-S-131553. pág. 70. Recuperado el 2024 noviembre 23 de </w:t>
      </w:r>
      <w:hyperlink r:id="rId45">
        <w:r w:rsidDel="00000000" w:rsidR="00000000" w:rsidRPr="00000000">
          <w:rPr>
            <w:rFonts w:ascii="Arial" w:cs="Arial" w:eastAsia="Arial" w:hAnsi="Arial"/>
            <w:color w:val="467886"/>
            <w:sz w:val="20"/>
            <w:szCs w:val="20"/>
            <w:u w:val="single"/>
            <w:rtl w:val="0"/>
          </w:rPr>
          <w:t xml:space="preserve">https://forestales.ujed.mx/incendios2/descargas/Manual_AQ_v1_3_20230401_RV4_CB.pdf</w:t>
        </w:r>
      </w:hyperlink>
      <w:r w:rsidDel="00000000" w:rsidR="00000000" w:rsidRPr="00000000">
        <w:rPr>
          <w:rtl w:val="0"/>
        </w:rPr>
      </w:r>
    </w:p>
    <w:p w:rsidR="00000000" w:rsidDel="00000000" w:rsidP="00000000" w:rsidRDefault="00000000" w:rsidRPr="00000000" w14:paraId="000005A5">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Bray, D. B. (2022). Las empresas forestales comunitarias de México: éxito en los comunes y las semillas de un buen antropoceno. La Cigarra.</w:t>
      </w:r>
    </w:p>
    <w:p w:rsidR="00000000" w:rsidDel="00000000" w:rsidP="00000000" w:rsidRDefault="00000000" w:rsidRPr="00000000" w14:paraId="000005A6">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Cartus, O., Kellndorfer, J., Walker, W., Franco, C., Bishop, J., Santos, L., &amp; Michel Fuentes, J. M. (2014). A national, detailed map of forest aboveground carbon stocks in Mexico. Remote sensing, 6(6), 5559-5588. </w:t>
      </w:r>
      <w:hyperlink r:id="rId46">
        <w:r w:rsidDel="00000000" w:rsidR="00000000" w:rsidRPr="00000000">
          <w:rPr>
            <w:rFonts w:ascii="Arial" w:cs="Arial" w:eastAsia="Arial" w:hAnsi="Arial"/>
            <w:color w:val="467886"/>
            <w:sz w:val="20"/>
            <w:szCs w:val="20"/>
            <w:u w:val="single"/>
            <w:rtl w:val="0"/>
          </w:rPr>
          <w:t xml:space="preserve">https://doi.org/10.3390/rs6065559</w:t>
        </w:r>
      </w:hyperlink>
      <w:r w:rsidDel="00000000" w:rsidR="00000000" w:rsidRPr="00000000">
        <w:rPr>
          <w:rtl w:val="0"/>
        </w:rPr>
      </w:r>
    </w:p>
    <w:p w:rsidR="00000000" w:rsidDel="00000000" w:rsidP="00000000" w:rsidRDefault="00000000" w:rsidRPr="00000000" w14:paraId="000005A7">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Chamberlain, J. L., &amp; Jones, K. W. (2024). Sociocultural mapping of ecosystem service values can inform where to mitigate wildfire risk: a case study from Colorado. Journal of Environmental Planning and Management, 67(6), 1212-1230. </w:t>
      </w:r>
      <w:hyperlink r:id="rId47">
        <w:r w:rsidDel="00000000" w:rsidR="00000000" w:rsidRPr="00000000">
          <w:rPr>
            <w:rFonts w:ascii="Arial" w:cs="Arial" w:eastAsia="Arial" w:hAnsi="Arial"/>
            <w:color w:val="467886"/>
            <w:sz w:val="20"/>
            <w:szCs w:val="20"/>
            <w:u w:val="single"/>
            <w:rtl w:val="0"/>
          </w:rPr>
          <w:t xml:space="preserve">https://doi.org/10.1080/09640568.2022.2161876</w:t>
        </w:r>
      </w:hyperlink>
      <w:r w:rsidDel="00000000" w:rsidR="00000000" w:rsidRPr="00000000">
        <w:rPr>
          <w:rtl w:val="0"/>
        </w:rPr>
      </w:r>
    </w:p>
    <w:p w:rsidR="00000000" w:rsidDel="00000000" w:rsidP="00000000" w:rsidRDefault="00000000" w:rsidRPr="00000000" w14:paraId="000005A8">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CONAFOR. (2010). Procedimiento para la elaboración de un mapa de áreas prioritarias contra incendios forestales: Primera etapa. Comisión Nacional Forestal - Secretaria de Medio Ambiente y Recursos Naturales. 49 pág.</w:t>
      </w:r>
    </w:p>
    <w:p w:rsidR="00000000" w:rsidDel="00000000" w:rsidP="00000000" w:rsidRDefault="00000000" w:rsidRPr="00000000" w14:paraId="000005A9">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CONAFOR. (2013). Inventario Estatal Forestal y de Suelos del Estado de Durango. Comisión Nacional Forestal - Secretaría de Medio Ambiente y Recursos Forestales. Recuperado 2024 agosto 18 en </w:t>
      </w:r>
      <w:hyperlink r:id="rId48">
        <w:r w:rsidDel="00000000" w:rsidR="00000000" w:rsidRPr="00000000">
          <w:rPr>
            <w:rFonts w:ascii="Arial" w:cs="Arial" w:eastAsia="Arial" w:hAnsi="Arial"/>
            <w:color w:val="467886"/>
            <w:sz w:val="20"/>
            <w:szCs w:val="20"/>
            <w:u w:val="single"/>
            <w:rtl w:val="0"/>
          </w:rPr>
          <w:t xml:space="preserve">https://idefor.cnf.gob.mx/documents/641/download</w:t>
        </w:r>
      </w:hyperlink>
      <w:r w:rsidDel="00000000" w:rsidR="00000000" w:rsidRPr="00000000">
        <w:rPr>
          <w:rtl w:val="0"/>
        </w:rPr>
      </w:r>
    </w:p>
    <w:p w:rsidR="00000000" w:rsidDel="00000000" w:rsidP="00000000" w:rsidRDefault="00000000" w:rsidRPr="00000000" w14:paraId="000005AA">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CONAFOR. (2017). Inventario Nacional Forestal y de Suelos: Procedimientos de muestreo. Gerencia de Sistema Nacional de Monitoreo Forestal, Comisión Nacional Forestal. Zapopan, Jalisco, México. 311 pág. [en línea]. Recuperado el 2024 marzo 27 en: </w:t>
      </w:r>
      <w:hyperlink r:id="rId49">
        <w:r w:rsidDel="00000000" w:rsidR="00000000" w:rsidRPr="00000000">
          <w:rPr>
            <w:rFonts w:ascii="Arial" w:cs="Arial" w:eastAsia="Arial" w:hAnsi="Arial"/>
            <w:color w:val="467886"/>
            <w:sz w:val="20"/>
            <w:szCs w:val="20"/>
            <w:u w:val="single"/>
            <w:rtl w:val="0"/>
          </w:rPr>
          <w:t xml:space="preserve">https://www.conafor.gob.mx/apoyos/docs/externos/2022/DocumentosMetodologicos/2019/ANEXO_Procedimientos_de_muestreo_2019.pdf</w:t>
        </w:r>
      </w:hyperlink>
      <w:r w:rsidDel="00000000" w:rsidR="00000000" w:rsidRPr="00000000">
        <w:rPr>
          <w:rtl w:val="0"/>
        </w:rPr>
      </w:r>
    </w:p>
    <w:p w:rsidR="00000000" w:rsidDel="00000000" w:rsidP="00000000" w:rsidRDefault="00000000" w:rsidRPr="00000000" w14:paraId="000005AB">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CONABIO. (2018). Mapa nacional de referencia, cobertura de suelo, escala 1:20,000 (Archivo ráster). MAD-Mex Monitoring Activity Data for the Mexican REDD+ program, Instituto Nacional de Estadística y Geografía, Comisión Nacional Forestal, Comisión Nacional para el Conocimiento y Uso de la Biodiversidad [en línea, sitio web]. Recuperado el 2024 marzo 27 en </w:t>
      </w:r>
      <w:hyperlink r:id="rId50">
        <w:r w:rsidDel="00000000" w:rsidR="00000000" w:rsidRPr="00000000">
          <w:rPr>
            <w:rFonts w:ascii="Arial" w:cs="Arial" w:eastAsia="Arial" w:hAnsi="Arial"/>
            <w:color w:val="467886"/>
            <w:sz w:val="20"/>
            <w:szCs w:val="20"/>
            <w:u w:val="single"/>
            <w:rtl w:val="0"/>
          </w:rPr>
          <w:t xml:space="preserve">https://monitoreo.conabio.gob.mx/snmb_charts/descarga_datos_madmex.html</w:t>
        </w:r>
      </w:hyperlink>
      <w:r w:rsidDel="00000000" w:rsidR="00000000" w:rsidRPr="00000000">
        <w:rPr>
          <w:rtl w:val="0"/>
        </w:rPr>
      </w:r>
    </w:p>
    <w:p w:rsidR="00000000" w:rsidDel="00000000" w:rsidP="00000000" w:rsidRDefault="00000000" w:rsidRPr="00000000" w14:paraId="000005AC">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CONAFOR. (2020). Programa de manejo del fuego 2020-2024. Gerencia de manejo del fuego. Coordinación general de conservación y restauración. Comisión Nacional Forestal. pág. 101. </w:t>
      </w:r>
    </w:p>
    <w:p w:rsidR="00000000" w:rsidDel="00000000" w:rsidP="00000000" w:rsidRDefault="00000000" w:rsidRPr="00000000" w14:paraId="000005AD">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CONAFOR. (2024a). Polígonos de Incendios Forestales: Concentrado Nacional de 2010 a 2023. Sistema Nacional y Gestión Forestal, México [en línea, sitio web]. Recuperado el 2024 marzo 02 en </w:t>
      </w:r>
      <w:hyperlink r:id="rId51">
        <w:r w:rsidDel="00000000" w:rsidR="00000000" w:rsidRPr="00000000">
          <w:rPr>
            <w:rFonts w:ascii="Arial" w:cs="Arial" w:eastAsia="Arial" w:hAnsi="Arial"/>
            <w:color w:val="467886"/>
            <w:sz w:val="20"/>
            <w:szCs w:val="20"/>
            <w:u w:val="single"/>
            <w:rtl w:val="0"/>
          </w:rPr>
          <w:t xml:space="preserve">https://snigf.cnf.gob.mx/incendios-forestales/</w:t>
        </w:r>
      </w:hyperlink>
      <w:r w:rsidDel="00000000" w:rsidR="00000000" w:rsidRPr="00000000">
        <w:rPr>
          <w:rtl w:val="0"/>
        </w:rPr>
      </w:r>
    </w:p>
    <w:p w:rsidR="00000000" w:rsidDel="00000000" w:rsidP="00000000" w:rsidRDefault="00000000" w:rsidRPr="00000000" w14:paraId="000005AE">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CONAFOR. (2024b). Autorizaciones de Programas de Manejo Forestal Maderable y No Maderable apoyados por CONAFOR - junio 2024 [Información vectorial]. Comisión Nacional Forestal. Recuperado el 2024 agosto 21 en </w:t>
      </w:r>
      <w:hyperlink r:id="rId52">
        <w:r w:rsidDel="00000000" w:rsidR="00000000" w:rsidRPr="00000000">
          <w:rPr>
            <w:rFonts w:ascii="Arial" w:cs="Arial" w:eastAsia="Arial" w:hAnsi="Arial"/>
            <w:color w:val="467886"/>
            <w:sz w:val="20"/>
            <w:szCs w:val="20"/>
            <w:u w:val="single"/>
            <w:rtl w:val="0"/>
          </w:rPr>
          <w:t xml:space="preserve">https://snif.cnf.gob.mx/produccion_y_productividad</w:t>
        </w:r>
      </w:hyperlink>
      <w:r w:rsidDel="00000000" w:rsidR="00000000" w:rsidRPr="00000000">
        <w:rPr>
          <w:rtl w:val="0"/>
        </w:rPr>
      </w:r>
    </w:p>
    <w:p w:rsidR="00000000" w:rsidDel="00000000" w:rsidP="00000000" w:rsidRDefault="00000000" w:rsidRPr="00000000" w14:paraId="000005AF">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CONAFOR. (2024c). Predios certificados bajo algún instrumento de certificación existente en el país - julio 2024 [Información vectorial]. Comisión Nacional Forestal. Recuperado el 2024 agosto 21 en </w:t>
      </w:r>
      <w:hyperlink r:id="rId53">
        <w:r w:rsidDel="00000000" w:rsidR="00000000" w:rsidRPr="00000000">
          <w:rPr>
            <w:rFonts w:ascii="Arial" w:cs="Arial" w:eastAsia="Arial" w:hAnsi="Arial"/>
            <w:color w:val="467886"/>
            <w:sz w:val="20"/>
            <w:szCs w:val="20"/>
            <w:u w:val="single"/>
            <w:rtl w:val="0"/>
          </w:rPr>
          <w:t xml:space="preserve">https://snif.cnf.gob.mx/produccion_y_productividad</w:t>
        </w:r>
      </w:hyperlink>
      <w:r w:rsidDel="00000000" w:rsidR="00000000" w:rsidRPr="00000000">
        <w:rPr>
          <w:rtl w:val="0"/>
        </w:rPr>
      </w:r>
    </w:p>
    <w:p w:rsidR="00000000" w:rsidDel="00000000" w:rsidP="00000000" w:rsidRDefault="00000000" w:rsidRPr="00000000" w14:paraId="000005B0">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CONAFOR. (2024d). Guía mexicana de procedimientos para la planificación e implementación de quemas prescritas. Comisión Nacional Forestal, Jalisco, México. pp. 67.</w:t>
      </w:r>
    </w:p>
    <w:p w:rsidR="00000000" w:rsidDel="00000000" w:rsidP="00000000" w:rsidRDefault="00000000" w:rsidRPr="00000000" w14:paraId="000005B1">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CONANP. (2015). Áreas de importancia para la conservación de las aves (Archivo vectorial). Comisión Nacional de Áreas Naturales Protegidas [en línea, sitio web]. Re Recuperado el 2024 marzo 02 en </w:t>
      </w:r>
      <w:hyperlink r:id="rId54">
        <w:r w:rsidDel="00000000" w:rsidR="00000000" w:rsidRPr="00000000">
          <w:rPr>
            <w:rFonts w:ascii="Arial" w:cs="Arial" w:eastAsia="Arial" w:hAnsi="Arial"/>
            <w:color w:val="467886"/>
            <w:sz w:val="20"/>
            <w:szCs w:val="20"/>
            <w:u w:val="single"/>
            <w:rtl w:val="0"/>
          </w:rPr>
          <w:t xml:space="preserve">http://geoportal.conabio.gob.mx/metadatos/doc/html/aicas15gw.html</w:t>
        </w:r>
      </w:hyperlink>
      <w:r w:rsidDel="00000000" w:rsidR="00000000" w:rsidRPr="00000000">
        <w:rPr>
          <w:rtl w:val="0"/>
        </w:rPr>
      </w:r>
    </w:p>
    <w:p w:rsidR="00000000" w:rsidDel="00000000" w:rsidP="00000000" w:rsidRDefault="00000000" w:rsidRPr="00000000" w14:paraId="000005B2">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CONANP. (2024). Áreas Naturales Protegidas (Archivo vectorial). Comisión Nacional de Áreas Naturales Protegidas [en línea, sitio web]. Recuperado el 2024 marzo 02 en </w:t>
      </w:r>
      <w:hyperlink r:id="rId55">
        <w:r w:rsidDel="00000000" w:rsidR="00000000" w:rsidRPr="00000000">
          <w:rPr>
            <w:rFonts w:ascii="Arial" w:cs="Arial" w:eastAsia="Arial" w:hAnsi="Arial"/>
            <w:color w:val="467886"/>
            <w:sz w:val="20"/>
            <w:szCs w:val="20"/>
            <w:u w:val="single"/>
            <w:rtl w:val="0"/>
          </w:rPr>
          <w:t xml:space="preserve">https://sig.conanp.gob.mx/Shape</w:t>
        </w:r>
      </w:hyperlink>
      <w:r w:rsidDel="00000000" w:rsidR="00000000" w:rsidRPr="00000000">
        <w:rPr>
          <w:rtl w:val="0"/>
        </w:rPr>
      </w:r>
    </w:p>
    <w:p w:rsidR="00000000" w:rsidDel="00000000" w:rsidP="00000000" w:rsidRDefault="00000000" w:rsidRPr="00000000" w14:paraId="000005B3">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CONANP. 2015. Sitios RAMSAR de México 2015. Comisión Nacional de Áreas Naturales Protegidas, México [en línea, sitio web]. Recuperado el 2024 octubre 02 en </w:t>
      </w:r>
      <w:hyperlink r:id="rId56">
        <w:r w:rsidDel="00000000" w:rsidR="00000000" w:rsidRPr="00000000">
          <w:rPr>
            <w:rFonts w:ascii="Arial" w:cs="Arial" w:eastAsia="Arial" w:hAnsi="Arial"/>
            <w:color w:val="467886"/>
            <w:sz w:val="20"/>
            <w:szCs w:val="20"/>
            <w:u w:val="single"/>
            <w:rtl w:val="0"/>
          </w:rPr>
          <w:t xml:space="preserve">https://datos.gob.mx/busca/dataset/consuta-de-sitios-ramsar-en-google-earth</w:t>
        </w:r>
      </w:hyperlink>
      <w:r w:rsidDel="00000000" w:rsidR="00000000" w:rsidRPr="00000000">
        <w:rPr>
          <w:rtl w:val="0"/>
        </w:rPr>
      </w:r>
    </w:p>
    <w:p w:rsidR="00000000" w:rsidDel="00000000" w:rsidP="00000000" w:rsidRDefault="00000000" w:rsidRPr="00000000" w14:paraId="000005B4">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CONEVAL. (2021). Medición de la pobreza en los municipios de México, 2020. Consejo Nacional de Evaluación de la Política de Desarrollo Social. Recuperado 2024 abril 24 en </w:t>
      </w:r>
      <w:hyperlink r:id="rId57">
        <w:r w:rsidDel="00000000" w:rsidR="00000000" w:rsidRPr="00000000">
          <w:rPr>
            <w:rFonts w:ascii="Arial" w:cs="Arial" w:eastAsia="Arial" w:hAnsi="Arial"/>
            <w:color w:val="467886"/>
            <w:sz w:val="20"/>
            <w:szCs w:val="20"/>
            <w:u w:val="single"/>
            <w:rtl w:val="0"/>
          </w:rPr>
          <w:t xml:space="preserve">https://www.coneval.org.mx/Medicion/Documents/Pobreza_municipal/2020/Presentacion_Pobreza_Municipal_2020.pdf#page=8.00</w:t>
        </w:r>
      </w:hyperlink>
      <w:r w:rsidDel="00000000" w:rsidR="00000000" w:rsidRPr="00000000">
        <w:rPr>
          <w:rtl w:val="0"/>
        </w:rPr>
      </w:r>
    </w:p>
    <w:p w:rsidR="00000000" w:rsidDel="00000000" w:rsidP="00000000" w:rsidRDefault="00000000" w:rsidRPr="00000000" w14:paraId="000005B5">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CONEVAL. (2023). Criterios generales para la determinación de las zonas de atención prioritarias. Consejo Nacional de Evaluación de la Política de Desarrollo Social. Recuperado 2024 abril 24 en </w:t>
      </w:r>
      <w:hyperlink r:id="rId58">
        <w:r w:rsidDel="00000000" w:rsidR="00000000" w:rsidRPr="00000000">
          <w:rPr>
            <w:rFonts w:ascii="Arial" w:cs="Arial" w:eastAsia="Arial" w:hAnsi="Arial"/>
            <w:color w:val="467886"/>
            <w:sz w:val="20"/>
            <w:szCs w:val="20"/>
            <w:u w:val="single"/>
            <w:rtl w:val="0"/>
          </w:rPr>
          <w:t xml:space="preserve">https://www.coneval.org.mx/Medicion/Paginas/Criterios-ZAP.aspx</w:t>
        </w:r>
      </w:hyperlink>
      <w:r w:rsidDel="00000000" w:rsidR="00000000" w:rsidRPr="00000000">
        <w:rPr>
          <w:rtl w:val="0"/>
        </w:rPr>
      </w:r>
    </w:p>
    <w:p w:rsidR="00000000" w:rsidDel="00000000" w:rsidP="00000000" w:rsidRDefault="00000000" w:rsidRPr="00000000" w14:paraId="000005B6">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Córdova, J. E., Sánchez, R. E. P., Hernández, J. A. C., García, G. F., &amp; Muñoz, J. R. E. (2024). Conservación y calidad de sitio del bosque mesófilo y de pino-encino en la zona de protección de la ciudad de uruapan, mich., méxico. International Journal of Professional Business Review: Int. J. Prof. Bus. Rev., 9(12), 13.</w:t>
      </w:r>
    </w:p>
    <w:p w:rsidR="00000000" w:rsidDel="00000000" w:rsidP="00000000" w:rsidRDefault="00000000" w:rsidRPr="00000000" w14:paraId="000005B7">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ESA. (2015). “Sentinel-2: Satelilite Description: Resolution and Swath”. European Space Agency, Paris. [en línea, sitio web]. Recuperado el 2024 marzo 27 en </w:t>
      </w:r>
      <w:hyperlink r:id="rId59">
        <w:r w:rsidDel="00000000" w:rsidR="00000000" w:rsidRPr="00000000">
          <w:rPr>
            <w:rFonts w:ascii="Arial" w:cs="Arial" w:eastAsia="Arial" w:hAnsi="Arial"/>
            <w:color w:val="467886"/>
            <w:sz w:val="20"/>
            <w:szCs w:val="20"/>
            <w:u w:val="single"/>
            <w:rtl w:val="0"/>
          </w:rPr>
          <w:t xml:space="preserve">https://sentinel.esa.int/web/sentinel/missions/sentinel-2/instrument-payload/resolution-and-swath</w:t>
        </w:r>
      </w:hyperlink>
      <w:r w:rsidDel="00000000" w:rsidR="00000000" w:rsidRPr="00000000">
        <w:rPr>
          <w:rtl w:val="0"/>
        </w:rPr>
      </w:r>
    </w:p>
    <w:p w:rsidR="00000000" w:rsidDel="00000000" w:rsidP="00000000" w:rsidRDefault="00000000" w:rsidRPr="00000000" w14:paraId="000005B8">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Esquerra Manjarrez, F.I.; Martínez Gálvez, M; Santana Cuevas, O.A.; Rodríguez López, S.; García Herrera, U.B; Castro Salas, B.C.; Núñez Carrillo, L.C. y Ricárdez Díaz, Y. 2024. Manual básico para el monitoreo, análisis y elaboración de polígonos de incendios forestales. Gerencia de Manejo del Fuego, Comisión Nacional Forestal. Zapopan, Jalisco, México. pág. 119.</w:t>
      </w:r>
    </w:p>
    <w:p w:rsidR="00000000" w:rsidDel="00000000" w:rsidP="00000000" w:rsidRDefault="00000000" w:rsidRPr="00000000" w14:paraId="000005B9">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Flores Garnica, J.G. (2011). Impacto ambiental de incendios forestales. Mundi Prensa México, S.A. de C.V. Instituto Nacional de Investigaciones Forestales, Agrícolas y Pecuarias (INIFAP), Colegio de Postgraduados. 340 pp.</w:t>
      </w:r>
    </w:p>
    <w:p w:rsidR="00000000" w:rsidDel="00000000" w:rsidP="00000000" w:rsidRDefault="00000000" w:rsidRPr="00000000" w14:paraId="000005BA">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Flores-Garnica, J. G., Benavides-Solorio, J. D., Ramírez-Godínez, L. L., de Oca, D. V. M., Valdez-Ramírez, C., Leal-Aguayo, H. J., &amp; Casillas-Díaz, U. D. (2016). Variables del criterio de valor para priorizar zonas contra incendios forestales en México. Folleto Técnico, (4). INIFAP-CIRPAC. Campo Experimental Centro-Altos de Jalisco, México. 69 p.</w:t>
      </w:r>
    </w:p>
    <w:p w:rsidR="00000000" w:rsidDel="00000000" w:rsidP="00000000" w:rsidRDefault="00000000" w:rsidRPr="00000000" w14:paraId="000005BB">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Fu, Y., Li, R., Wang, X., Bergeron, Y., Valeria, O., Chavardès, R. D., ... &amp; Hu, J. (2020). Fire detection and fire radiative power in forests and low-biomass lands in Northeast Asia: MODIS versus VIIRS Fire Products. Remote Sensing, 12(18), 2870. </w:t>
      </w:r>
      <w:hyperlink r:id="rId60">
        <w:r w:rsidDel="00000000" w:rsidR="00000000" w:rsidRPr="00000000">
          <w:rPr>
            <w:rFonts w:ascii="Arial" w:cs="Arial" w:eastAsia="Arial" w:hAnsi="Arial"/>
            <w:color w:val="467886"/>
            <w:sz w:val="20"/>
            <w:szCs w:val="20"/>
            <w:u w:val="single"/>
            <w:rtl w:val="0"/>
          </w:rPr>
          <w:t xml:space="preserve">https://doi.org/10.3390/rs12182870</w:t>
        </w:r>
      </w:hyperlink>
      <w:r w:rsidDel="00000000" w:rsidR="00000000" w:rsidRPr="00000000">
        <w:rPr>
          <w:rtl w:val="0"/>
        </w:rPr>
      </w:r>
    </w:p>
    <w:p w:rsidR="00000000" w:rsidDel="00000000" w:rsidP="00000000" w:rsidRDefault="00000000" w:rsidRPr="00000000" w14:paraId="000005BC">
      <w:pPr>
        <w:ind w:left="720" w:hanging="720"/>
        <w:jc w:val="both"/>
        <w:rPr>
          <w:rFonts w:ascii="Arial" w:cs="Arial" w:eastAsia="Arial" w:hAnsi="Arial"/>
          <w:color w:val="467886"/>
          <w:sz w:val="20"/>
          <w:szCs w:val="20"/>
          <w:u w:val="single"/>
        </w:rPr>
      </w:pPr>
      <w:r w:rsidDel="00000000" w:rsidR="00000000" w:rsidRPr="00000000">
        <w:rPr>
          <w:rFonts w:ascii="Arial" w:cs="Arial" w:eastAsia="Arial" w:hAnsi="Arial"/>
          <w:sz w:val="20"/>
          <w:szCs w:val="20"/>
          <w:rtl w:val="0"/>
        </w:rPr>
        <w:t xml:space="preserve">Goodchild, M. F. (1992). Geographical information science. International journal of geographical information systems, 6(1), 31-45. </w:t>
      </w:r>
      <w:hyperlink r:id="rId61">
        <w:r w:rsidDel="00000000" w:rsidR="00000000" w:rsidRPr="00000000">
          <w:rPr>
            <w:rFonts w:ascii="Arial" w:cs="Arial" w:eastAsia="Arial" w:hAnsi="Arial"/>
            <w:color w:val="467886"/>
            <w:sz w:val="20"/>
            <w:szCs w:val="20"/>
            <w:u w:val="single"/>
            <w:rtl w:val="0"/>
          </w:rPr>
          <w:t xml:space="preserve">https://doi.org/10.1080/02693799208901893</w:t>
        </w:r>
      </w:hyperlink>
      <w:r w:rsidDel="00000000" w:rsidR="00000000" w:rsidRPr="00000000">
        <w:rPr>
          <w:rtl w:val="0"/>
        </w:rPr>
      </w:r>
    </w:p>
    <w:p w:rsidR="00000000" w:rsidDel="00000000" w:rsidP="00000000" w:rsidRDefault="00000000" w:rsidRPr="00000000" w14:paraId="000005BD">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Gorelick, N; Hancher, M; Dixon, M; Ilyushchenko, S; Thau, D; Moore, R. 2017. Google Earth Engine: Planetary-scale geospatial analysis for everyone. Remote Sensing of Environment, 202: 18-27. </w:t>
      </w:r>
      <w:hyperlink r:id="rId62">
        <w:r w:rsidDel="00000000" w:rsidR="00000000" w:rsidRPr="00000000">
          <w:rPr>
            <w:rFonts w:ascii="Arial" w:cs="Arial" w:eastAsia="Arial" w:hAnsi="Arial"/>
            <w:color w:val="467886"/>
            <w:sz w:val="20"/>
            <w:szCs w:val="20"/>
            <w:u w:val="single"/>
            <w:rtl w:val="0"/>
          </w:rPr>
          <w:t xml:space="preserve">https://doi.org/10.1016/j.rse.2017.06.031</w:t>
        </w:r>
      </w:hyperlink>
      <w:r w:rsidDel="00000000" w:rsidR="00000000" w:rsidRPr="00000000">
        <w:rPr>
          <w:rtl w:val="0"/>
        </w:rPr>
      </w:r>
    </w:p>
    <w:p w:rsidR="00000000" w:rsidDel="00000000" w:rsidP="00000000" w:rsidRDefault="00000000" w:rsidRPr="00000000" w14:paraId="000005BE">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Hardesty, J., Myers, R., &amp; Fulks, W. (2005, January). Fire, ecosystems, and people: a preliminary assessment of fire as a global conservation issue. In The George Wright Forum (Vol. 22, No. 4, pp. 78-87). George Wright Society. Recuperado el 2024 octubre 07 en </w:t>
      </w:r>
      <w:hyperlink r:id="rId63">
        <w:r w:rsidDel="00000000" w:rsidR="00000000" w:rsidRPr="00000000">
          <w:rPr>
            <w:rFonts w:ascii="Arial" w:cs="Arial" w:eastAsia="Arial" w:hAnsi="Arial"/>
            <w:color w:val="467886"/>
            <w:sz w:val="20"/>
            <w:szCs w:val="20"/>
            <w:u w:val="single"/>
            <w:rtl w:val="0"/>
          </w:rPr>
          <w:t xml:space="preserve">https://www.jstor.org/stable/43597968</w:t>
        </w:r>
      </w:hyperlink>
      <w:r w:rsidDel="00000000" w:rsidR="00000000" w:rsidRPr="00000000">
        <w:rPr>
          <w:rtl w:val="0"/>
        </w:rPr>
      </w:r>
    </w:p>
    <w:p w:rsidR="00000000" w:rsidDel="00000000" w:rsidP="00000000" w:rsidRDefault="00000000" w:rsidRPr="00000000" w14:paraId="000005BF">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INEGI. (2020). Conjunto de indicadores de población y vivienda a nivel localidad de todo el país, provenientes del Censo de Población y Vivienda 2020. Instituto Nacional de Estadística, Geografía e Informática, México. Recuperado 2024 abril 24 en </w:t>
      </w:r>
      <w:hyperlink r:id="rId64">
        <w:r w:rsidDel="00000000" w:rsidR="00000000" w:rsidRPr="00000000">
          <w:rPr>
            <w:rFonts w:ascii="Arial" w:cs="Arial" w:eastAsia="Arial" w:hAnsi="Arial"/>
            <w:color w:val="467886"/>
            <w:sz w:val="20"/>
            <w:szCs w:val="20"/>
            <w:u w:val="single"/>
            <w:rtl w:val="0"/>
          </w:rPr>
          <w:t xml:space="preserve">https://www.inegi.org.mx/app/descarga/default.html</w:t>
        </w:r>
      </w:hyperlink>
      <w:r w:rsidDel="00000000" w:rsidR="00000000" w:rsidRPr="00000000">
        <w:rPr>
          <w:rtl w:val="0"/>
        </w:rPr>
      </w:r>
    </w:p>
    <w:p w:rsidR="00000000" w:rsidDel="00000000" w:rsidP="00000000" w:rsidRDefault="00000000" w:rsidRPr="00000000" w14:paraId="000005C0">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INEGI. (2023). “Marco Geoestadístico de los Estados Unidos Mexicanos (Conjunto nacional, Diciembre 2023)” (Archivo vectorial). Instituto Nacional de Estadística, Geografía e Informática, México [en línea, sitio web]. Recuperado el 2024 mayo 14 en </w:t>
      </w:r>
      <w:hyperlink r:id="rId65">
        <w:r w:rsidDel="00000000" w:rsidR="00000000" w:rsidRPr="00000000">
          <w:rPr>
            <w:rFonts w:ascii="Arial" w:cs="Arial" w:eastAsia="Arial" w:hAnsi="Arial"/>
            <w:color w:val="467886"/>
            <w:sz w:val="20"/>
            <w:szCs w:val="20"/>
            <w:u w:val="single"/>
            <w:rtl w:val="0"/>
          </w:rPr>
          <w:t xml:space="preserve">https://www.inegi.org.mx/app/biblioteca/ficha.html?upc=794551067314</w:t>
        </w:r>
      </w:hyperlink>
      <w:r w:rsidDel="00000000" w:rsidR="00000000" w:rsidRPr="00000000">
        <w:rPr>
          <w:rtl w:val="0"/>
        </w:rPr>
      </w:r>
    </w:p>
    <w:p w:rsidR="00000000" w:rsidDel="00000000" w:rsidP="00000000" w:rsidRDefault="00000000" w:rsidRPr="00000000" w14:paraId="000005C1">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Jardel-Peláez, E. J., Castillo Navarro, F., Ramírez Villeda, R., Chacón Mathieu. J.C., Balcázar Medina, O.E. (2004). Los incendios forestales en la reserva de la biosfera Sierra de Manantlán, Jalisco y Colima. Incendios forestales en México: métodos de evaluación. Universidad Nacional Autónoma de México. pág. 141-159.</w:t>
      </w:r>
    </w:p>
    <w:p w:rsidR="00000000" w:rsidDel="00000000" w:rsidP="00000000" w:rsidRDefault="00000000" w:rsidRPr="00000000" w14:paraId="000005C2">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Jardel, E. J., Quintero Gardilla, S. D., Lomelí Jiménez, A. J., Graf Pérez, J. D., Rodríguez Gómez, J. N., y Pérez Salicrup, D. P. (2018a). Guía técnica divulgativa para el uso de modelos de comportamiento del fuego para los tipos de combustibles forestales de México. Universidad de Guadalajara. Informe Técnico CONAFOR-CONACyT 2014- CO2-251694, México. Recuperado el 2024 octubre 30 en </w:t>
      </w:r>
      <w:hyperlink r:id="rId66">
        <w:r w:rsidDel="00000000" w:rsidR="00000000" w:rsidRPr="00000000">
          <w:rPr>
            <w:rFonts w:ascii="Arial" w:cs="Arial" w:eastAsia="Arial" w:hAnsi="Arial"/>
            <w:color w:val="467886"/>
            <w:sz w:val="20"/>
            <w:szCs w:val="20"/>
            <w:u w:val="single"/>
            <w:rtl w:val="0"/>
          </w:rPr>
          <w:t xml:space="preserve">https://snigf.cnf.gob.mx/wp-content/uploads/Incendios/Insumos%20Manejo%20Fuego/Modelos%20combustibles/Guia%20modelos.pdf</w:t>
        </w:r>
      </w:hyperlink>
      <w:r w:rsidDel="00000000" w:rsidR="00000000" w:rsidRPr="00000000">
        <w:rPr>
          <w:rtl w:val="0"/>
        </w:rPr>
      </w:r>
    </w:p>
    <w:p w:rsidR="00000000" w:rsidDel="00000000" w:rsidP="00000000" w:rsidRDefault="00000000" w:rsidRPr="00000000" w14:paraId="000005C3">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Jardel-Peláez, E.J., Alvarado E., Quintero-Gradilla S.D., Rodríguez-Gómez J.M., Pérez-Salicrup D., Michel-Fuentes J.M., Morfín-Ríos J.E., Castillo-Navarro M.F. (2018b). Generación de modelos de comportamiento del fuego para los tipos de combustibles forestales de México. Departamento de Ecología y Recursos Naturales, Universidad de Guadalajara, Instituto de Investigaciones en Ecosistemas (UNAM). Informe Técnico CONAFOR-CONACyT 2014- CO2-251694, Autlán, Jalisco, México. 48 pp. </w:t>
      </w:r>
    </w:p>
    <w:p w:rsidR="00000000" w:rsidDel="00000000" w:rsidP="00000000" w:rsidRDefault="00000000" w:rsidRPr="00000000" w14:paraId="000005C4">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Jiménez, A. M., Flores, M. E. P., &amp; Suárez, P. M. (2008). Sistemas y Análisis de la Información Geográfica. Manual de autoaprendizaje con ArcGIS. 2ª. Ra-Ma Editorial. 940 pág.</w:t>
      </w:r>
    </w:p>
    <w:p w:rsidR="00000000" w:rsidDel="00000000" w:rsidP="00000000" w:rsidRDefault="00000000" w:rsidRPr="00000000" w14:paraId="000005C5">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Lara Castañeda, E. (2024). Población indígena en México. Características sociodemográficas 2020. Ciudad de México: Secretaría General del Consejo Nacional de Población (SGCONAPO). Recuperado 2024 abril 24 en </w:t>
      </w:r>
      <w:hyperlink r:id="rId67">
        <w:r w:rsidDel="00000000" w:rsidR="00000000" w:rsidRPr="00000000">
          <w:rPr>
            <w:rFonts w:ascii="Arial" w:cs="Arial" w:eastAsia="Arial" w:hAnsi="Arial"/>
            <w:color w:val="467886"/>
            <w:sz w:val="20"/>
            <w:szCs w:val="20"/>
            <w:u w:val="single"/>
            <w:rtl w:val="0"/>
          </w:rPr>
          <w:t xml:space="preserve">https://www.gob.mx/cms/uploads/attachment/file/907689/Conapo.__2024_._Poblacion_indigena._Caracteristicas_sociodemograficas_2020..pdf</w:t>
        </w:r>
      </w:hyperlink>
      <w:r w:rsidDel="00000000" w:rsidR="00000000" w:rsidRPr="00000000">
        <w:rPr>
          <w:rtl w:val="0"/>
        </w:rPr>
      </w:r>
    </w:p>
    <w:p w:rsidR="00000000" w:rsidDel="00000000" w:rsidP="00000000" w:rsidRDefault="00000000" w:rsidRPr="00000000" w14:paraId="000005C6">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Malczewski, J. (2006). GIS</w:t>
      </w:r>
      <w:r w:rsidDel="00000000" w:rsidR="00000000" w:rsidRPr="00000000">
        <w:rPr>
          <w:rFonts w:ascii="Cambria Math" w:cs="Cambria Math" w:eastAsia="Cambria Math" w:hAnsi="Cambria Math"/>
          <w:sz w:val="20"/>
          <w:szCs w:val="20"/>
          <w:rtl w:val="0"/>
        </w:rPr>
        <w:t xml:space="preserve">‐</w:t>
      </w:r>
      <w:r w:rsidDel="00000000" w:rsidR="00000000" w:rsidRPr="00000000">
        <w:rPr>
          <w:rFonts w:ascii="Arial" w:cs="Arial" w:eastAsia="Arial" w:hAnsi="Arial"/>
          <w:sz w:val="20"/>
          <w:szCs w:val="20"/>
          <w:rtl w:val="0"/>
        </w:rPr>
        <w:t xml:space="preserve">based multicriteria decision analysis: a survey of the literature. International journal of geographical information science, 20(7), 703-726. </w:t>
      </w:r>
      <w:hyperlink r:id="rId68">
        <w:r w:rsidDel="00000000" w:rsidR="00000000" w:rsidRPr="00000000">
          <w:rPr>
            <w:rFonts w:ascii="Arial" w:cs="Arial" w:eastAsia="Arial" w:hAnsi="Arial"/>
            <w:color w:val="467886"/>
            <w:sz w:val="20"/>
            <w:szCs w:val="20"/>
            <w:u w:val="single"/>
            <w:rtl w:val="0"/>
          </w:rPr>
          <w:t xml:space="preserve">https://doi.org/10.1080/13658810600661508</w:t>
        </w:r>
      </w:hyperlink>
      <w:r w:rsidDel="00000000" w:rsidR="00000000" w:rsidRPr="00000000">
        <w:rPr>
          <w:rtl w:val="0"/>
        </w:rPr>
      </w:r>
    </w:p>
    <w:p w:rsidR="00000000" w:rsidDel="00000000" w:rsidP="00000000" w:rsidRDefault="00000000" w:rsidRPr="00000000" w14:paraId="000005C7">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McLauchlan, K.K., Higuera, P. EJ., Miesel, J., Rogers, B.M., Schweitzer, J., Shuman, J. K Tepley, A.J., Varner, J.M., Veblen, T.T., Adalsteinsson, S.A. Balch, J.K. and Watts, A. C. (2020). Fire as a fundamental ecological process: Research advances and frontiers. Journal of Ecology, 108(5), 2047-2069. </w:t>
      </w:r>
      <w:hyperlink r:id="rId69">
        <w:r w:rsidDel="00000000" w:rsidR="00000000" w:rsidRPr="00000000">
          <w:rPr>
            <w:rFonts w:ascii="Arial" w:cs="Arial" w:eastAsia="Arial" w:hAnsi="Arial"/>
            <w:color w:val="467886"/>
            <w:sz w:val="20"/>
            <w:szCs w:val="20"/>
            <w:u w:val="single"/>
            <w:rtl w:val="0"/>
          </w:rPr>
          <w:t xml:space="preserve">https://doi.org/10.1111/1365-2745.13403</w:t>
        </w:r>
      </w:hyperlink>
      <w:r w:rsidDel="00000000" w:rsidR="00000000" w:rsidRPr="00000000">
        <w:rPr>
          <w:rtl w:val="0"/>
        </w:rPr>
      </w:r>
    </w:p>
    <w:p w:rsidR="00000000" w:rsidDel="00000000" w:rsidP="00000000" w:rsidRDefault="00000000" w:rsidRPr="00000000" w14:paraId="000005C8">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Mireles Soria, D. L. (2021). Elaboración de un modelo multicriterio con base SIG para el manejo integral de ríos urbanos utilizando VANTS y tecnología espectral. Tesis posgrado. Facultad de Ingenieria Civil, Universidad Autónoma de Nuevo León. 111 pág.</w:t>
      </w:r>
    </w:p>
    <w:p w:rsidR="00000000" w:rsidDel="00000000" w:rsidP="00000000" w:rsidRDefault="00000000" w:rsidRPr="00000000" w14:paraId="000005C9">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Monjarás-Vega, N. A., Briones-Herrera, C. I., Vega-Nieva, D. J., Calleros-Flores, E., Corral-Rivas, J. J., López-Serrano, P. M., ... &amp; Jolly, W. M. (2020). Predicting forest fire kernel density at multiple scales with geographically weighted regression in Mexico. Science of the Total Environment, 718, 137313. </w:t>
      </w:r>
      <w:hyperlink r:id="rId70">
        <w:r w:rsidDel="00000000" w:rsidR="00000000" w:rsidRPr="00000000">
          <w:rPr>
            <w:rFonts w:ascii="Arial" w:cs="Arial" w:eastAsia="Arial" w:hAnsi="Arial"/>
            <w:color w:val="467886"/>
            <w:sz w:val="20"/>
            <w:szCs w:val="20"/>
            <w:u w:val="single"/>
            <w:rtl w:val="0"/>
          </w:rPr>
          <w:t xml:space="preserve">https://doi.org/10.1016/j.scitotenv.2020.137313</w:t>
        </w:r>
      </w:hyperlink>
      <w:r w:rsidDel="00000000" w:rsidR="00000000" w:rsidRPr="00000000">
        <w:rPr>
          <w:rtl w:val="0"/>
        </w:rPr>
      </w:r>
    </w:p>
    <w:p w:rsidR="00000000" w:rsidDel="00000000" w:rsidP="00000000" w:rsidRDefault="00000000" w:rsidRPr="00000000" w14:paraId="000005CA">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Pagan, A., Rogan, J., Schmook, B., Christman, Z., &amp; Sangermano, F. (2021). Understanding agricultural fire dynamics in the southern Yucatán Peninsular Region using the MODIS (C6) active fire product. Remote Sensing Letters, 12(7), 715-726. </w:t>
      </w:r>
      <w:hyperlink r:id="rId71">
        <w:r w:rsidDel="00000000" w:rsidR="00000000" w:rsidRPr="00000000">
          <w:rPr>
            <w:rFonts w:ascii="Arial" w:cs="Arial" w:eastAsia="Arial" w:hAnsi="Arial"/>
            <w:color w:val="467886"/>
            <w:sz w:val="20"/>
            <w:szCs w:val="20"/>
            <w:u w:val="single"/>
            <w:rtl w:val="0"/>
          </w:rPr>
          <w:t xml:space="preserve">https://doi.org/10.1080/2150704X.2021.1931530</w:t>
        </w:r>
      </w:hyperlink>
      <w:r w:rsidDel="00000000" w:rsidR="00000000" w:rsidRPr="00000000">
        <w:rPr>
          <w:rtl w:val="0"/>
        </w:rPr>
      </w:r>
    </w:p>
    <w:p w:rsidR="00000000" w:rsidDel="00000000" w:rsidP="00000000" w:rsidRDefault="00000000" w:rsidRPr="00000000" w14:paraId="000005CB">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Ponce Calderón, L., Limón-Aguirre, F., Rodríguez, I., Rodríguez-Trejo, D., Bilbao, B., Alvarez-Gorrillo, G., &amp; Villanueva-Díaz, J. (2022). Fire management in pyrobiocultural landscapes, Chiapas, Mexico. Tropical Forest Issues, 61, 53-59.</w:t>
      </w:r>
    </w:p>
    <w:p w:rsidR="00000000" w:rsidDel="00000000" w:rsidP="00000000" w:rsidRDefault="00000000" w:rsidRPr="00000000" w14:paraId="000005CC">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QGIS Development Team. 2023. QGIS Geographic Information System. Open Source Geospatial Foundation Project. Recuperado el 2024 diciembre 01 de </w:t>
      </w:r>
      <w:hyperlink r:id="rId72">
        <w:r w:rsidDel="00000000" w:rsidR="00000000" w:rsidRPr="00000000">
          <w:rPr>
            <w:rFonts w:ascii="Arial" w:cs="Arial" w:eastAsia="Arial" w:hAnsi="Arial"/>
            <w:color w:val="467886"/>
            <w:sz w:val="20"/>
            <w:szCs w:val="20"/>
            <w:u w:val="single"/>
            <w:rtl w:val="0"/>
          </w:rPr>
          <w:t xml:space="preserve">http://qgis.osgeo.org</w:t>
        </w:r>
      </w:hyperlink>
      <w:r w:rsidDel="00000000" w:rsidR="00000000" w:rsidRPr="00000000">
        <w:rPr>
          <w:rtl w:val="0"/>
        </w:rPr>
      </w:r>
    </w:p>
    <w:p w:rsidR="00000000" w:rsidDel="00000000" w:rsidP="00000000" w:rsidRDefault="00000000" w:rsidRPr="00000000" w14:paraId="000005CD">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RAMSAR. (2018). Perspectiva mundial sobre los humedales: Estado de los humedales del mundo y sus servicios a las personas. Secretaría de la Convención de Ramsar. Gland, Suiza. 88 pág. [en línea, sitio web]. Recuperado el 2024 octubre 02 en </w:t>
      </w:r>
      <w:hyperlink r:id="rId73">
        <w:r w:rsidDel="00000000" w:rsidR="00000000" w:rsidRPr="00000000">
          <w:rPr>
            <w:rFonts w:ascii="Arial" w:cs="Arial" w:eastAsia="Arial" w:hAnsi="Arial"/>
            <w:color w:val="467886"/>
            <w:sz w:val="20"/>
            <w:szCs w:val="20"/>
            <w:u w:val="single"/>
            <w:rtl w:val="0"/>
          </w:rPr>
          <w:t xml:space="preserve">https://www.ramsar.org/sites/default/files/documents/library/gwo_s.pdf</w:t>
        </w:r>
      </w:hyperlink>
      <w:r w:rsidDel="00000000" w:rsidR="00000000" w:rsidRPr="00000000">
        <w:rPr>
          <w:rtl w:val="0"/>
        </w:rPr>
      </w:r>
    </w:p>
    <w:p w:rsidR="00000000" w:rsidDel="00000000" w:rsidP="00000000" w:rsidRDefault="00000000" w:rsidRPr="00000000" w14:paraId="000005CE">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Rodríguez-Trejo, D. A. and Fulé, P. Z. (2003). Fire ecology of Mexican pines and a fire management proposal. International Journal of Wildland Fire, 12(1), 23-37. </w:t>
      </w:r>
      <w:hyperlink r:id="rId74">
        <w:r w:rsidDel="00000000" w:rsidR="00000000" w:rsidRPr="00000000">
          <w:rPr>
            <w:rFonts w:ascii="Arial" w:cs="Arial" w:eastAsia="Arial" w:hAnsi="Arial"/>
            <w:color w:val="467886"/>
            <w:sz w:val="20"/>
            <w:szCs w:val="20"/>
            <w:u w:val="single"/>
            <w:rtl w:val="0"/>
          </w:rPr>
          <w:t xml:space="preserve">https://doi.org/10.1071/WF02040</w:t>
        </w:r>
      </w:hyperlink>
      <w:r w:rsidDel="00000000" w:rsidR="00000000" w:rsidRPr="00000000">
        <w:rPr>
          <w:rtl w:val="0"/>
        </w:rPr>
      </w:r>
    </w:p>
    <w:p w:rsidR="00000000" w:rsidDel="00000000" w:rsidP="00000000" w:rsidRDefault="00000000" w:rsidRPr="00000000" w14:paraId="000005CF">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Rodríguez-Trejo, D.A. (2014). Incendios de vegetación: Su ecología, manejo e historia Vol. 2 [1st ed.]. Eds.; CP, UACh, SEMARNAT, PPCIF, CONAFOR, CONANP, PNPCIF, ANCF, AMPF, USDA FS, USAID, FMCN, Gob. Edo. Tab. Biblioteca Básica de Agricultura, Jalisco, México. 893-1705 pp.</w:t>
      </w:r>
    </w:p>
    <w:p w:rsidR="00000000" w:rsidDel="00000000" w:rsidP="00000000" w:rsidRDefault="00000000" w:rsidRPr="00000000" w14:paraId="000005D0">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Rodríguez-Trejo, D.A., Maldonado Ramírez, H., Hubert, T., y Santillán Pérez, J. (2008). Factores que inciden en la siniestralidad de los incendios forestales. Revista Mexicana de Ciencias Forestales, 33(104), 37-58. Recuperado el 2024 mayo 02 en </w:t>
      </w:r>
      <w:hyperlink r:id="rId75">
        <w:r w:rsidDel="00000000" w:rsidR="00000000" w:rsidRPr="00000000">
          <w:rPr>
            <w:rFonts w:ascii="Arial" w:cs="Arial" w:eastAsia="Arial" w:hAnsi="Arial"/>
            <w:color w:val="467886"/>
            <w:sz w:val="20"/>
            <w:szCs w:val="20"/>
            <w:u w:val="single"/>
            <w:rtl w:val="0"/>
          </w:rPr>
          <w:t xml:space="preserve">https://cienciasforestales.inifap.gob.mx/index.php/forestales/article/view/736/1898</w:t>
        </w:r>
      </w:hyperlink>
      <w:r w:rsidDel="00000000" w:rsidR="00000000" w:rsidRPr="00000000">
        <w:rPr>
          <w:rtl w:val="0"/>
        </w:rPr>
      </w:r>
    </w:p>
    <w:p w:rsidR="00000000" w:rsidDel="00000000" w:rsidP="00000000" w:rsidRDefault="00000000" w:rsidRPr="00000000" w14:paraId="000005D1">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Scott, A.C., Bowman, D.M., Bond, W.J., Pyne, S.J., &amp; Alexander, M.E. (2014). Fire on Earth: An Introduction. 434 pp.</w:t>
      </w:r>
    </w:p>
    <w:p w:rsidR="00000000" w:rsidDel="00000000" w:rsidP="00000000" w:rsidRDefault="00000000" w:rsidRPr="00000000" w14:paraId="000005D2">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Segura Pacheco, H.R., Sarabia Ruiz, G.S. y Árevalo Méndez, I. (2014). Planeación participativa para el emprendimiento social campesino en las estrategias de desarrollo local de zonas forestales marginadas. XIX Congreso Internacional de Contaduría, Administración e Informática. Facultad de Contaduría y Administración, Universidad Nacional Autónoma de México. 18 p. Recuperado el 2024 septiembre 15 en </w:t>
      </w:r>
      <w:hyperlink r:id="rId76">
        <w:r w:rsidDel="00000000" w:rsidR="00000000" w:rsidRPr="00000000">
          <w:rPr>
            <w:rFonts w:ascii="Arial" w:cs="Arial" w:eastAsia="Arial" w:hAnsi="Arial"/>
            <w:color w:val="467886"/>
            <w:sz w:val="20"/>
            <w:szCs w:val="20"/>
            <w:u w:val="single"/>
            <w:rtl w:val="0"/>
          </w:rPr>
          <w:t xml:space="preserve">https://investigacion.fca.unam.mx/docs/memorias/2014/9.06.pdf</w:t>
        </w:r>
      </w:hyperlink>
      <w:r w:rsidDel="00000000" w:rsidR="00000000" w:rsidRPr="00000000">
        <w:rPr>
          <w:rtl w:val="0"/>
        </w:rPr>
      </w:r>
    </w:p>
    <w:p w:rsidR="00000000" w:rsidDel="00000000" w:rsidP="00000000" w:rsidRDefault="00000000" w:rsidRPr="00000000" w14:paraId="000005D3">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SEMARNAT. (2023). Norma Oficial Mexicana 015: NOM-015-SEMARNAT/AGRICULTURA-2023. Secretaría de Medio Ambiente y Recursos Naturales, Secretaría de Agricultura y Desarrollo Rural. Ciudad de México, México. [en línea, sitio web]. Recuperado 2024 marzo 25 en </w:t>
      </w:r>
      <w:hyperlink r:id="rId77">
        <w:r w:rsidDel="00000000" w:rsidR="00000000" w:rsidRPr="00000000">
          <w:rPr>
            <w:rFonts w:ascii="Arial" w:cs="Arial" w:eastAsia="Arial" w:hAnsi="Arial"/>
            <w:color w:val="467886"/>
            <w:sz w:val="20"/>
            <w:szCs w:val="20"/>
            <w:u w:val="single"/>
            <w:rtl w:val="0"/>
          </w:rPr>
          <w:t xml:space="preserve">https://dof.gob.mx/nota_detalle.php?codigo=5710189&amp;fecha=01/12/2023#gsc.tab=0</w:t>
        </w:r>
      </w:hyperlink>
      <w:r w:rsidDel="00000000" w:rsidR="00000000" w:rsidRPr="00000000">
        <w:rPr>
          <w:rtl w:val="0"/>
        </w:rPr>
      </w:r>
    </w:p>
    <w:p w:rsidR="00000000" w:rsidDel="00000000" w:rsidP="00000000" w:rsidRDefault="00000000" w:rsidRPr="00000000" w14:paraId="000005D4">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SESNSP. (2024). Cifras de Incidencia Delictiva Municipal, 2015 - marzo 2024. Secretariado Ejecutivo del Sistema Nacional de Seguridad Pública. Recuperado 2024 abril 24 </w:t>
      </w:r>
      <w:hyperlink r:id="rId78">
        <w:r w:rsidDel="00000000" w:rsidR="00000000" w:rsidRPr="00000000">
          <w:rPr>
            <w:rFonts w:ascii="Arial" w:cs="Arial" w:eastAsia="Arial" w:hAnsi="Arial"/>
            <w:color w:val="467886"/>
            <w:sz w:val="20"/>
            <w:szCs w:val="20"/>
            <w:u w:val="single"/>
            <w:rtl w:val="0"/>
          </w:rPr>
          <w:t xml:space="preserve">https://www.gob.mx/sesnsp/acciones-y-programas/datos-abiertos-de-incidencia-delictiva</w:t>
        </w:r>
      </w:hyperlink>
      <w:r w:rsidDel="00000000" w:rsidR="00000000" w:rsidRPr="00000000">
        <w:rPr>
          <w:rtl w:val="0"/>
        </w:rPr>
      </w:r>
    </w:p>
    <w:p w:rsidR="00000000" w:rsidDel="00000000" w:rsidP="00000000" w:rsidRDefault="00000000" w:rsidRPr="00000000" w14:paraId="000005D5">
      <w:pPr>
        <w:ind w:left="720" w:hanging="72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Tinoco-Orozco, D. A. (2023). Análisis y mapeado de la intensidad calórica máxima esperada por nivel de biomasa total a partir de fuegos activos MODIS. Tesis de maestría. Durango, México. Facultad de Ciencias Forestales y Ambientales, Universidad Juárez del estado de Durango. 27 p.</w:t>
      </w:r>
    </w:p>
    <w:p w:rsidR="00000000" w:rsidDel="00000000" w:rsidP="00000000" w:rsidRDefault="00000000" w:rsidRPr="00000000" w14:paraId="000005D6">
      <w:pPr>
        <w:ind w:left="720" w:hanging="720"/>
        <w:jc w:val="both"/>
        <w:rPr>
          <w:rFonts w:ascii="Arial" w:cs="Arial" w:eastAsia="Arial" w:hAnsi="Arial"/>
          <w:i w:val="1"/>
          <w:sz w:val="20"/>
          <w:szCs w:val="20"/>
        </w:rPr>
        <w:sectPr>
          <w:headerReference r:id="rId79" w:type="default"/>
          <w:footerReference r:id="rId80" w:type="default"/>
          <w:type w:val="nextPage"/>
          <w:pgSz w:h="15840" w:w="12240" w:orient="portrait"/>
          <w:pgMar w:bottom="1417" w:top="1417" w:left="1701" w:right="1701" w:header="708" w:footer="708"/>
          <w:pgNumType w:start="1"/>
        </w:sectPr>
      </w:pPr>
      <w:r w:rsidDel="00000000" w:rsidR="00000000" w:rsidRPr="00000000">
        <w:rPr>
          <w:rFonts w:ascii="Arial" w:cs="Arial" w:eastAsia="Arial" w:hAnsi="Arial"/>
          <w:sz w:val="20"/>
          <w:szCs w:val="20"/>
          <w:rtl w:val="0"/>
        </w:rPr>
        <w:t xml:space="preserve">Tinoco-Orozco, D. A., Vega-Nieva, D. J., Briseño-Reyes, J., Dominguez-Amaya, M. E., Silva-Cardoza, A. I., Briones-Herrera, C. I., Álvarez-González, J. G., Corral-Rivas, J. J., López-Serrano, P. M., Jardel Peláez, E., Pérez-Salicrup, D. R., &amp; Ruiz-González, A. D. (2025). Where do fires burn more intensely? Modeling and mapping maximum MODIS Fire Radiative Power from aboveground biomass by fuel type in Mexico. Fire. </w:t>
      </w:r>
      <w:r w:rsidDel="00000000" w:rsidR="00000000" w:rsidRPr="00000000">
        <w:rPr>
          <w:rFonts w:ascii="Arial" w:cs="Arial" w:eastAsia="Arial" w:hAnsi="Arial"/>
          <w:i w:val="1"/>
          <w:sz w:val="20"/>
          <w:szCs w:val="20"/>
          <w:rtl w:val="0"/>
        </w:rPr>
        <w:t xml:space="preserve">Manuscript in review.</w:t>
      </w:r>
    </w:p>
    <w:p w:rsidR="00000000" w:rsidDel="00000000" w:rsidP="00000000" w:rsidRDefault="00000000" w:rsidRPr="00000000" w14:paraId="000005D7">
      <w:pPr>
        <w:ind w:left="720" w:hanging="720"/>
        <w:jc w:val="both"/>
        <w:rPr>
          <w:rFonts w:ascii="Arial" w:cs="Arial" w:eastAsia="Arial" w:hAnsi="Arial"/>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-1080134</wp:posOffset>
            </wp:positionH>
            <wp:positionV relativeFrom="paragraph">
              <wp:posOffset>-899793</wp:posOffset>
            </wp:positionV>
            <wp:extent cx="7772400" cy="10096500"/>
            <wp:effectExtent b="0" l="0" r="0" t="0"/>
            <wp:wrapNone/>
            <wp:docPr id="2101763747" name="image18.jpg"/>
            <a:graphic>
              <a:graphicData uri="http://schemas.openxmlformats.org/drawingml/2006/picture">
                <pic:pic>
                  <pic:nvPicPr>
                    <pic:cNvPr id="0" name="image18.jpg"/>
                    <pic:cNvPicPr preferRelativeResize="0"/>
                  </pic:nvPicPr>
                  <pic:blipFill>
                    <a:blip r:embed="rId81"/>
                    <a:srcRect b="0" l="0" r="0" t="0"/>
                    <a:stretch>
                      <a:fillRect/>
                    </a:stretch>
                  </pic:blipFill>
                  <pic:spPr>
                    <a:xfrm>
                      <a:off x="0" y="0"/>
                      <a:ext cx="7772400" cy="10096500"/>
                    </a:xfrm>
                    <a:prstGeom prst="rect"/>
                    <a:ln/>
                  </pic:spPr>
                </pic:pic>
              </a:graphicData>
            </a:graphic>
          </wp:anchor>
        </w:drawing>
      </w:r>
    </w:p>
    <w:sectPr>
      <w:headerReference r:id="rId82" w:type="default"/>
      <w:footerReference r:id="rId83" w:type="default"/>
      <w:type w:val="nextPage"/>
      <w:pgSz w:h="15840" w:w="12240" w:orient="portrait"/>
      <w:pgMar w:bottom="1417" w:top="1417"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urier New"/>
  <w:font w:name="Play">
    <w:embedRegular w:fontKey="{00000000-0000-0000-0000-000000000000}" r:id="rId1" w:subsetted="0"/>
    <w:embedBold w:fontKey="{00000000-0000-0000-0000-000000000000}" r:id="rId2" w:subsetted="0"/>
  </w:font>
  <w:font w:name="Arial Narrow">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Candara">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Noto Sans Symbols">
    <w:embedRegular w:fontKey="{00000000-0000-0000-0000-000000000000}" r:id="rId11" w:subsetted="0"/>
    <w:embedBold w:fontKey="{00000000-0000-0000-0000-000000000000}" r:id="rId12" w:subsetted="0"/>
  </w:font>
  <w:font w:name="Cambria Math">
    <w:embedRegular w:fontKey="{00000000-0000-0000-0000-000000000000}" r:id="rId1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DC">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right"/>
      <w:rPr>
        <w:color w:val="000000"/>
        <w:u w:val="singl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DD">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right"/>
      <w:rPr>
        <w:color w:val="000000"/>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5D8">
      <w:pPr>
        <w:pBdr>
          <w:top w:space="0" w:sz="0" w:val="nil"/>
          <w:left w:space="0" w:sz="0" w:val="nil"/>
          <w:bottom w:space="0" w:sz="0" w:val="nil"/>
          <w:right w:space="0" w:sz="0" w:val="nil"/>
          <w:between w:space="0" w:sz="0" w:val="nil"/>
        </w:pBdr>
        <w:spacing w:after="0" w:line="240" w:lineRule="auto"/>
        <w:rPr>
          <w:rFonts w:ascii="Arial Narrow" w:cs="Arial Narrow" w:eastAsia="Arial Narrow" w:hAnsi="Arial Narrow"/>
          <w:color w:val="000000"/>
          <w:sz w:val="20"/>
          <w:szCs w:val="20"/>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color w:val="000000"/>
          <w:sz w:val="20"/>
          <w:szCs w:val="20"/>
          <w:rtl w:val="0"/>
        </w:rPr>
        <w:t xml:space="preserve"> Para mayor detalle consultar: </w:t>
      </w:r>
      <w:hyperlink r:id="rId1">
        <w:r w:rsidDel="00000000" w:rsidR="00000000" w:rsidRPr="00000000">
          <w:rPr>
            <w:rFonts w:ascii="Arial Narrow" w:cs="Arial Narrow" w:eastAsia="Arial Narrow" w:hAnsi="Arial Narrow"/>
            <w:color w:val="467886"/>
            <w:sz w:val="20"/>
            <w:szCs w:val="20"/>
            <w:u w:val="single"/>
            <w:rtl w:val="0"/>
          </w:rPr>
          <w:t xml:space="preserve">https://www.gob.mx/conanp/documentos/areas-naturales-protegidas-278226</w:t>
        </w:r>
      </w:hyperlink>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D9">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ind w:right="616"/>
      <w:jc w:val="right"/>
      <w:rPr>
        <w:rFonts w:ascii="Arial Narrow" w:cs="Arial Narrow" w:eastAsia="Arial Narrow" w:hAnsi="Arial Narrow"/>
        <w:i w:val="1"/>
        <w:color w:val="ffc1c1"/>
      </w:rPr>
    </w:pPr>
    <w:r w:rsidDel="00000000" w:rsidR="00000000" w:rsidRPr="00000000">
      <w:rPr>
        <w:rFonts w:ascii="Arial Narrow" w:cs="Arial Narrow" w:eastAsia="Arial Narrow" w:hAnsi="Arial Narrow"/>
        <w:i w:val="1"/>
        <w:color w:val="ffc1c1"/>
      </w:rPr>
      <mc:AlternateContent>
        <mc:Choice Requires="wpg">
          <w:drawing>
            <wp:anchor allowOverlap="1" behindDoc="0" distB="228600" distT="228600" distL="114300" distR="114300" hidden="0" layoutInCell="1" locked="0" relativeHeight="0" simplePos="0">
              <wp:simplePos x="0" y="0"/>
              <wp:positionH relativeFrom="margin">
                <wp:align>right</wp:align>
              </wp:positionH>
              <wp:positionV relativeFrom="page">
                <wp:posOffset>272416</wp:posOffset>
              </wp:positionV>
              <wp:extent cx="133350" cy="474345"/>
              <wp:effectExtent b="0" l="0" r="0" t="0"/>
              <wp:wrapNone/>
              <wp:docPr id="2101763723" name=""/>
              <a:graphic>
                <a:graphicData uri="http://schemas.microsoft.com/office/word/2010/wordprocessingShape">
                  <wps:wsp>
                    <wps:cNvSpPr/>
                    <wps:cNvPr id="5" name="Shape 5"/>
                    <wps:spPr>
                      <a:xfrm>
                        <a:off x="5288850" y="3552353"/>
                        <a:ext cx="114300" cy="455295"/>
                      </a:xfrm>
                      <a:prstGeom prst="rect">
                        <a:avLst/>
                      </a:prstGeom>
                      <a:solidFill>
                        <a:srgbClr val="135B42"/>
                      </a:solidFill>
                      <a:ln cap="flat" cmpd="sng" w="9525">
                        <a:solidFill>
                          <a:srgbClr val="135B4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right"/>
                            <w:textDirection w:val="btLr"/>
                          </w:pPr>
                        </w:p>
                      </w:txbxContent>
                    </wps:txbx>
                    <wps:bodyPr anchorCtr="0" anchor="b" bIns="45700" lIns="91425" spcFirstLastPara="1" rIns="91425" wrap="square" tIns="45700">
                      <a:noAutofit/>
                    </wps:bodyPr>
                  </wps:wsp>
                </a:graphicData>
              </a:graphic>
            </wp:anchor>
          </w:drawing>
        </mc:Choice>
        <mc:Fallback>
          <w:drawing>
            <wp:anchor allowOverlap="1" behindDoc="0" distB="228600" distT="228600" distL="114300" distR="114300" hidden="0" layoutInCell="1" locked="0" relativeHeight="0" simplePos="0">
              <wp:simplePos x="0" y="0"/>
              <wp:positionH relativeFrom="margin">
                <wp:align>right</wp:align>
              </wp:positionH>
              <wp:positionV relativeFrom="page">
                <wp:posOffset>272416</wp:posOffset>
              </wp:positionV>
              <wp:extent cx="133350" cy="474345"/>
              <wp:effectExtent b="0" l="0" r="0" t="0"/>
              <wp:wrapNone/>
              <wp:docPr id="2101763723" name="image24.png"/>
              <a:graphic>
                <a:graphicData uri="http://schemas.openxmlformats.org/drawingml/2006/picture">
                  <pic:pic>
                    <pic:nvPicPr>
                      <pic:cNvPr id="0" name="image24.png"/>
                      <pic:cNvPicPr preferRelativeResize="0"/>
                    </pic:nvPicPr>
                    <pic:blipFill>
                      <a:blip r:embed="rId1"/>
                      <a:srcRect/>
                      <a:stretch>
                        <a:fillRect/>
                      </a:stretch>
                    </pic:blipFill>
                    <pic:spPr>
                      <a:xfrm>
                        <a:off x="0" y="0"/>
                        <a:ext cx="133350" cy="474345"/>
                      </a:xfrm>
                      <a:prstGeom prst="rect"/>
                      <a:ln/>
                    </pic:spPr>
                  </pic:pic>
                </a:graphicData>
              </a:graphic>
            </wp:anchor>
          </w:drawing>
        </mc:Fallback>
      </mc:AlternateContent>
    </w:r>
    <w:r w:rsidDel="00000000" w:rsidR="00000000" w:rsidRPr="00000000">
      <w:rPr>
        <w:rFonts w:ascii="Arial Narrow" w:cs="Arial Narrow" w:eastAsia="Arial Narrow" w:hAnsi="Arial Narrow"/>
        <w:i w:val="1"/>
        <w:color w:val="135b42"/>
        <w:sz w:val="18"/>
        <w:szCs w:val="18"/>
        <w:rtl w:val="0"/>
      </w:rPr>
      <w:t xml:space="preserve">Metodología para la actualización del mapa de áreas prioritarias de protección contra incendios forestales 2024</w:t>
    </w:r>
    <w:r w:rsidDel="00000000" w:rsidR="00000000" w:rsidRPr="00000000">
      <w:rPr>
        <w:rtl w:val="0"/>
      </w:rPr>
    </w:r>
  </w:p>
  <w:p w:rsidR="00000000" w:rsidDel="00000000" w:rsidP="00000000" w:rsidRDefault="00000000" w:rsidRPr="00000000" w14:paraId="000005DA">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rPr>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DB">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ndara" w:cs="Candara" w:eastAsia="Candara" w:hAnsi="Candara"/>
        <w:sz w:val="24"/>
        <w:szCs w:val="24"/>
        <w:lang w:val="es-MX"/>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60" w:lineRule="auto"/>
    </w:pPr>
    <w:rPr>
      <w:rFonts w:ascii="Arial" w:cs="Arial" w:eastAsia="Arial" w:hAnsi="Arial"/>
      <w:color w:val="0f4761"/>
      <w:sz w:val="40"/>
      <w:szCs w:val="40"/>
    </w:rPr>
  </w:style>
  <w:style w:type="paragraph" w:styleId="Heading2">
    <w:name w:val="heading 2"/>
    <w:basedOn w:val="Normal"/>
    <w:next w:val="Normal"/>
    <w:pPr>
      <w:keepNext w:val="1"/>
      <w:keepLines w:val="1"/>
      <w:spacing w:after="80" w:before="160" w:lineRule="auto"/>
    </w:pPr>
    <w:rPr>
      <w:rFonts w:ascii="Arial" w:cs="Arial" w:eastAsia="Arial" w:hAnsi="Arial"/>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Normal" w:default="1">
    <w:name w:val="Normal"/>
    <w:qFormat w:val="1"/>
    <w:rsid w:val="00AF3B2E"/>
  </w:style>
  <w:style w:type="paragraph" w:styleId="Ttulo1">
    <w:name w:val="heading 1"/>
    <w:basedOn w:val="Normal"/>
    <w:next w:val="Normal"/>
    <w:link w:val="Ttulo1Car"/>
    <w:uiPriority w:val="9"/>
    <w:qFormat w:val="1"/>
    <w:rsid w:val="0097540D"/>
    <w:pPr>
      <w:keepNext w:val="1"/>
      <w:keepLines w:val="1"/>
      <w:spacing w:after="80" w:before="360"/>
      <w:outlineLvl w:val="0"/>
    </w:pPr>
    <w:rPr>
      <w:rFonts w:ascii="Arial" w:hAnsi="Arial" w:cstheme="majorBidi" w:eastAsiaTheme="majorEastAsia"/>
      <w:color w:val="0f4761" w:themeColor="accent1" w:themeShade="0000BF"/>
      <w:sz w:val="40"/>
      <w:szCs w:val="40"/>
    </w:rPr>
  </w:style>
  <w:style w:type="paragraph" w:styleId="Ttulo2">
    <w:name w:val="heading 2"/>
    <w:basedOn w:val="Normal"/>
    <w:next w:val="Normal"/>
    <w:link w:val="Ttulo2Car"/>
    <w:uiPriority w:val="9"/>
    <w:unhideWhenUsed w:val="1"/>
    <w:qFormat w:val="1"/>
    <w:rsid w:val="0097540D"/>
    <w:pPr>
      <w:keepNext w:val="1"/>
      <w:keepLines w:val="1"/>
      <w:spacing w:after="80" w:before="160"/>
      <w:outlineLvl w:val="1"/>
    </w:pPr>
    <w:rPr>
      <w:rFonts w:ascii="Arial" w:hAnsi="Arial" w:cstheme="majorBidi" w:eastAsiaTheme="majorEastAsia"/>
      <w:color w:val="0f4761" w:themeColor="accent1" w:themeShade="0000BF"/>
      <w:sz w:val="32"/>
      <w:szCs w:val="32"/>
    </w:rPr>
  </w:style>
  <w:style w:type="paragraph" w:styleId="Ttulo3">
    <w:name w:val="heading 3"/>
    <w:basedOn w:val="Normal"/>
    <w:next w:val="Normal"/>
    <w:link w:val="Ttulo3Car"/>
    <w:uiPriority w:val="9"/>
    <w:unhideWhenUsed w:val="1"/>
    <w:qFormat w:val="1"/>
    <w:rsid w:val="00F90175"/>
    <w:pPr>
      <w:keepNext w:val="1"/>
      <w:keepLines w:val="1"/>
      <w:spacing w:after="80" w:before="160"/>
      <w:outlineLvl w:val="2"/>
    </w:pPr>
    <w:rPr>
      <w:rFonts w:cstheme="majorBidi" w:eastAsiaTheme="majorEastAsia"/>
      <w:color w:val="0f4761" w:themeColor="accent1" w:themeShade="0000BF"/>
      <w:sz w:val="28"/>
      <w:szCs w:val="28"/>
    </w:rPr>
  </w:style>
  <w:style w:type="paragraph" w:styleId="Ttulo4">
    <w:name w:val="heading 4"/>
    <w:basedOn w:val="Normal"/>
    <w:next w:val="Normal"/>
    <w:link w:val="Ttulo4Car"/>
    <w:uiPriority w:val="9"/>
    <w:semiHidden w:val="1"/>
    <w:unhideWhenUsed w:val="1"/>
    <w:qFormat w:val="1"/>
    <w:rsid w:val="00F90175"/>
    <w:pPr>
      <w:keepNext w:val="1"/>
      <w:keepLines w:val="1"/>
      <w:spacing w:after="40" w:before="80"/>
      <w:outlineLvl w:val="3"/>
    </w:pPr>
    <w:rPr>
      <w:rFonts w:cstheme="majorBidi" w:eastAsiaTheme="majorEastAsia"/>
      <w:i w:val="1"/>
      <w:iCs w:val="1"/>
      <w:color w:val="0f4761" w:themeColor="accent1" w:themeShade="0000BF"/>
    </w:rPr>
  </w:style>
  <w:style w:type="paragraph" w:styleId="Ttulo5">
    <w:name w:val="heading 5"/>
    <w:basedOn w:val="Normal"/>
    <w:next w:val="Normal"/>
    <w:link w:val="Ttulo5Car"/>
    <w:uiPriority w:val="9"/>
    <w:semiHidden w:val="1"/>
    <w:unhideWhenUsed w:val="1"/>
    <w:qFormat w:val="1"/>
    <w:rsid w:val="00F90175"/>
    <w:pPr>
      <w:keepNext w:val="1"/>
      <w:keepLines w:val="1"/>
      <w:spacing w:after="40" w:before="80"/>
      <w:outlineLvl w:val="4"/>
    </w:pPr>
    <w:rPr>
      <w:rFonts w:cstheme="majorBidi" w:eastAsiaTheme="majorEastAsia"/>
      <w:color w:val="0f4761" w:themeColor="accent1" w:themeShade="0000BF"/>
    </w:rPr>
  </w:style>
  <w:style w:type="paragraph" w:styleId="Ttulo6">
    <w:name w:val="heading 6"/>
    <w:basedOn w:val="Normal"/>
    <w:next w:val="Normal"/>
    <w:link w:val="Ttulo6Car"/>
    <w:uiPriority w:val="9"/>
    <w:semiHidden w:val="1"/>
    <w:unhideWhenUsed w:val="1"/>
    <w:qFormat w:val="1"/>
    <w:rsid w:val="00F90175"/>
    <w:pPr>
      <w:keepNext w:val="1"/>
      <w:keepLines w:val="1"/>
      <w:spacing w:after="0" w:before="40"/>
      <w:outlineLvl w:val="5"/>
    </w:pPr>
    <w:rPr>
      <w:rFonts w:cstheme="majorBidi" w:eastAsiaTheme="majorEastAsia"/>
      <w:i w:val="1"/>
      <w:iCs w:val="1"/>
      <w:color w:val="595959" w:themeColor="text1" w:themeTint="0000A6"/>
    </w:rPr>
  </w:style>
  <w:style w:type="paragraph" w:styleId="Ttulo7">
    <w:name w:val="heading 7"/>
    <w:basedOn w:val="Normal"/>
    <w:next w:val="Normal"/>
    <w:link w:val="Ttulo7Car"/>
    <w:uiPriority w:val="9"/>
    <w:semiHidden w:val="1"/>
    <w:unhideWhenUsed w:val="1"/>
    <w:qFormat w:val="1"/>
    <w:rsid w:val="00F90175"/>
    <w:pPr>
      <w:keepNext w:val="1"/>
      <w:keepLines w:val="1"/>
      <w:spacing w:after="0" w:before="40"/>
      <w:outlineLvl w:val="6"/>
    </w:pPr>
    <w:rPr>
      <w:rFonts w:cstheme="majorBidi" w:eastAsiaTheme="majorEastAsia"/>
      <w:color w:val="595959" w:themeColor="text1" w:themeTint="0000A6"/>
    </w:rPr>
  </w:style>
  <w:style w:type="paragraph" w:styleId="Ttulo8">
    <w:name w:val="heading 8"/>
    <w:basedOn w:val="Normal"/>
    <w:next w:val="Normal"/>
    <w:link w:val="Ttulo8Car"/>
    <w:uiPriority w:val="9"/>
    <w:semiHidden w:val="1"/>
    <w:unhideWhenUsed w:val="1"/>
    <w:qFormat w:val="1"/>
    <w:rsid w:val="00F90175"/>
    <w:pPr>
      <w:keepNext w:val="1"/>
      <w:keepLines w:val="1"/>
      <w:spacing w:after="0"/>
      <w:outlineLvl w:val="7"/>
    </w:pPr>
    <w:rPr>
      <w:rFonts w:cstheme="majorBidi" w:eastAsiaTheme="majorEastAsia"/>
      <w:i w:val="1"/>
      <w:iCs w:val="1"/>
      <w:color w:val="272727" w:themeColor="text1" w:themeTint="0000D8"/>
    </w:rPr>
  </w:style>
  <w:style w:type="paragraph" w:styleId="Ttulo9">
    <w:name w:val="heading 9"/>
    <w:basedOn w:val="Normal"/>
    <w:next w:val="Normal"/>
    <w:link w:val="Ttulo9Car"/>
    <w:uiPriority w:val="9"/>
    <w:semiHidden w:val="1"/>
    <w:unhideWhenUsed w:val="1"/>
    <w:qFormat w:val="1"/>
    <w:rsid w:val="00F90175"/>
    <w:pPr>
      <w:keepNext w:val="1"/>
      <w:keepLines w:val="1"/>
      <w:spacing w:after="0"/>
      <w:outlineLvl w:val="8"/>
    </w:pPr>
    <w:rPr>
      <w:rFonts w:cstheme="majorBidi" w:eastAsiaTheme="majorEastAsia"/>
      <w:color w:val="272727" w:themeColor="text1" w:themeTint="0000D8"/>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link w:val="TtuloCar"/>
    <w:uiPriority w:val="10"/>
    <w:qFormat w:val="1"/>
    <w:rsid w:val="00F90175"/>
    <w:pPr>
      <w:spacing w:after="80" w:line="240" w:lineRule="auto"/>
      <w:contextualSpacing w:val="1"/>
    </w:pPr>
    <w:rPr>
      <w:rFonts w:asciiTheme="majorHAnsi" w:cstheme="majorBidi" w:eastAsiaTheme="majorEastAsia" w:hAnsiTheme="majorHAnsi"/>
      <w:spacing w:val="-10"/>
      <w:kern w:val="28"/>
      <w:sz w:val="56"/>
      <w:szCs w:val="56"/>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character" w:styleId="Ttulo1Car" w:customStyle="1">
    <w:name w:val="Título 1 Car"/>
    <w:basedOn w:val="Fuentedeprrafopredeter"/>
    <w:link w:val="Ttulo1"/>
    <w:uiPriority w:val="9"/>
    <w:rsid w:val="0097540D"/>
    <w:rPr>
      <w:rFonts w:ascii="Arial" w:hAnsi="Arial" w:cstheme="majorBidi" w:eastAsiaTheme="majorEastAsia"/>
      <w:color w:val="0f4761" w:themeColor="accent1" w:themeShade="0000BF"/>
      <w:sz w:val="40"/>
      <w:szCs w:val="40"/>
    </w:rPr>
  </w:style>
  <w:style w:type="character" w:styleId="Ttulo2Car" w:customStyle="1">
    <w:name w:val="Título 2 Car"/>
    <w:basedOn w:val="Fuentedeprrafopredeter"/>
    <w:link w:val="Ttulo2"/>
    <w:uiPriority w:val="9"/>
    <w:rsid w:val="0097540D"/>
    <w:rPr>
      <w:rFonts w:ascii="Arial" w:hAnsi="Arial" w:cstheme="majorBidi" w:eastAsiaTheme="majorEastAsia"/>
      <w:color w:val="0f4761" w:themeColor="accent1" w:themeShade="0000BF"/>
      <w:sz w:val="32"/>
      <w:szCs w:val="32"/>
    </w:rPr>
  </w:style>
  <w:style w:type="character" w:styleId="Ttulo3Car" w:customStyle="1">
    <w:name w:val="Título 3 Car"/>
    <w:basedOn w:val="Fuentedeprrafopredeter"/>
    <w:link w:val="Ttulo3"/>
    <w:uiPriority w:val="9"/>
    <w:rsid w:val="00F90175"/>
    <w:rPr>
      <w:rFonts w:cstheme="majorBidi" w:eastAsiaTheme="majorEastAsia"/>
      <w:color w:val="0f4761" w:themeColor="accent1" w:themeShade="0000BF"/>
      <w:sz w:val="28"/>
      <w:szCs w:val="28"/>
    </w:rPr>
  </w:style>
  <w:style w:type="character" w:styleId="Ttulo4Car" w:customStyle="1">
    <w:name w:val="Título 4 Car"/>
    <w:basedOn w:val="Fuentedeprrafopredeter"/>
    <w:link w:val="Ttulo4"/>
    <w:uiPriority w:val="9"/>
    <w:semiHidden w:val="1"/>
    <w:rsid w:val="00F90175"/>
    <w:rPr>
      <w:rFonts w:cstheme="majorBidi" w:eastAsiaTheme="majorEastAsia"/>
      <w:i w:val="1"/>
      <w:iCs w:val="1"/>
      <w:color w:val="0f4761" w:themeColor="accent1" w:themeShade="0000BF"/>
    </w:rPr>
  </w:style>
  <w:style w:type="character" w:styleId="Ttulo5Car" w:customStyle="1">
    <w:name w:val="Título 5 Car"/>
    <w:basedOn w:val="Fuentedeprrafopredeter"/>
    <w:link w:val="Ttulo5"/>
    <w:uiPriority w:val="9"/>
    <w:semiHidden w:val="1"/>
    <w:rsid w:val="00F90175"/>
    <w:rPr>
      <w:rFonts w:cstheme="majorBidi" w:eastAsiaTheme="majorEastAsia"/>
      <w:color w:val="0f4761" w:themeColor="accent1" w:themeShade="0000BF"/>
    </w:rPr>
  </w:style>
  <w:style w:type="character" w:styleId="Ttulo6Car" w:customStyle="1">
    <w:name w:val="Título 6 Car"/>
    <w:basedOn w:val="Fuentedeprrafopredeter"/>
    <w:link w:val="Ttulo6"/>
    <w:uiPriority w:val="9"/>
    <w:semiHidden w:val="1"/>
    <w:rsid w:val="00F90175"/>
    <w:rPr>
      <w:rFonts w:cstheme="majorBidi" w:eastAsiaTheme="majorEastAsia"/>
      <w:i w:val="1"/>
      <w:iCs w:val="1"/>
      <w:color w:val="595959" w:themeColor="text1" w:themeTint="0000A6"/>
    </w:rPr>
  </w:style>
  <w:style w:type="character" w:styleId="Ttulo7Car" w:customStyle="1">
    <w:name w:val="Título 7 Car"/>
    <w:basedOn w:val="Fuentedeprrafopredeter"/>
    <w:link w:val="Ttulo7"/>
    <w:uiPriority w:val="9"/>
    <w:semiHidden w:val="1"/>
    <w:rsid w:val="00F90175"/>
    <w:rPr>
      <w:rFonts w:cstheme="majorBidi" w:eastAsiaTheme="majorEastAsia"/>
      <w:color w:val="595959" w:themeColor="text1" w:themeTint="0000A6"/>
    </w:rPr>
  </w:style>
  <w:style w:type="character" w:styleId="Ttulo8Car" w:customStyle="1">
    <w:name w:val="Título 8 Car"/>
    <w:basedOn w:val="Fuentedeprrafopredeter"/>
    <w:link w:val="Ttulo8"/>
    <w:uiPriority w:val="9"/>
    <w:semiHidden w:val="1"/>
    <w:rsid w:val="00F90175"/>
    <w:rPr>
      <w:rFonts w:cstheme="majorBidi" w:eastAsiaTheme="majorEastAsia"/>
      <w:i w:val="1"/>
      <w:iCs w:val="1"/>
      <w:color w:val="272727" w:themeColor="text1" w:themeTint="0000D8"/>
    </w:rPr>
  </w:style>
  <w:style w:type="character" w:styleId="Ttulo9Car" w:customStyle="1">
    <w:name w:val="Título 9 Car"/>
    <w:basedOn w:val="Fuentedeprrafopredeter"/>
    <w:link w:val="Ttulo9"/>
    <w:uiPriority w:val="9"/>
    <w:semiHidden w:val="1"/>
    <w:rsid w:val="00F90175"/>
    <w:rPr>
      <w:rFonts w:cstheme="majorBidi" w:eastAsiaTheme="majorEastAsia"/>
      <w:color w:val="272727" w:themeColor="text1" w:themeTint="0000D8"/>
    </w:rPr>
  </w:style>
  <w:style w:type="character" w:styleId="TtuloCar" w:customStyle="1">
    <w:name w:val="Título Car"/>
    <w:basedOn w:val="Fuentedeprrafopredeter"/>
    <w:link w:val="Ttulo"/>
    <w:uiPriority w:val="10"/>
    <w:rsid w:val="00F90175"/>
    <w:rPr>
      <w:rFonts w:asciiTheme="majorHAnsi" w:cstheme="majorBidi" w:eastAsiaTheme="majorEastAsia" w:hAnsiTheme="majorHAnsi"/>
      <w:spacing w:val="-10"/>
      <w:kern w:val="28"/>
      <w:sz w:val="56"/>
      <w:szCs w:val="56"/>
    </w:rPr>
  </w:style>
  <w:style w:type="paragraph" w:styleId="Subttulo">
    <w:name w:val="Subtitle"/>
    <w:basedOn w:val="Normal"/>
    <w:next w:val="Normal"/>
    <w:link w:val="SubttuloCar"/>
    <w:uiPriority w:val="11"/>
    <w:qFormat w:val="1"/>
    <w:rPr>
      <w:color w:val="595959"/>
      <w:sz w:val="28"/>
      <w:szCs w:val="28"/>
    </w:rPr>
  </w:style>
  <w:style w:type="character" w:styleId="SubttuloCar" w:customStyle="1">
    <w:name w:val="Subtítulo Car"/>
    <w:basedOn w:val="Fuentedeprrafopredeter"/>
    <w:link w:val="Subttulo"/>
    <w:uiPriority w:val="11"/>
    <w:rsid w:val="00F90175"/>
    <w:rPr>
      <w:rFonts w:cstheme="majorBidi" w:eastAsiaTheme="majorEastAsia"/>
      <w:color w:val="595959" w:themeColor="text1" w:themeTint="0000A6"/>
      <w:spacing w:val="15"/>
      <w:sz w:val="28"/>
      <w:szCs w:val="28"/>
    </w:rPr>
  </w:style>
  <w:style w:type="paragraph" w:styleId="Cita">
    <w:name w:val="Quote"/>
    <w:basedOn w:val="Normal"/>
    <w:next w:val="Normal"/>
    <w:link w:val="CitaCar"/>
    <w:uiPriority w:val="29"/>
    <w:qFormat w:val="1"/>
    <w:rsid w:val="00F90175"/>
    <w:pPr>
      <w:spacing w:before="160"/>
      <w:jc w:val="center"/>
    </w:pPr>
    <w:rPr>
      <w:i w:val="1"/>
      <w:iCs w:val="1"/>
      <w:color w:val="404040" w:themeColor="text1" w:themeTint="0000BF"/>
    </w:rPr>
  </w:style>
  <w:style w:type="character" w:styleId="CitaCar" w:customStyle="1">
    <w:name w:val="Cita Car"/>
    <w:basedOn w:val="Fuentedeprrafopredeter"/>
    <w:link w:val="Cita"/>
    <w:uiPriority w:val="29"/>
    <w:rsid w:val="00F90175"/>
    <w:rPr>
      <w:i w:val="1"/>
      <w:iCs w:val="1"/>
      <w:color w:val="404040" w:themeColor="text1" w:themeTint="0000BF"/>
    </w:rPr>
  </w:style>
  <w:style w:type="paragraph" w:styleId="Prrafodelista">
    <w:name w:val="List Paragraph"/>
    <w:basedOn w:val="Normal"/>
    <w:uiPriority w:val="34"/>
    <w:qFormat w:val="1"/>
    <w:rsid w:val="00F90175"/>
    <w:pPr>
      <w:ind w:left="720"/>
      <w:contextualSpacing w:val="1"/>
    </w:pPr>
  </w:style>
  <w:style w:type="character" w:styleId="nfasisintenso">
    <w:name w:val="Intense Emphasis"/>
    <w:basedOn w:val="Fuentedeprrafopredeter"/>
    <w:uiPriority w:val="21"/>
    <w:qFormat w:val="1"/>
    <w:rsid w:val="00F90175"/>
    <w:rPr>
      <w:i w:val="1"/>
      <w:iCs w:val="1"/>
      <w:color w:val="0f4761" w:themeColor="accent1" w:themeShade="0000BF"/>
    </w:rPr>
  </w:style>
  <w:style w:type="paragraph" w:styleId="Citadestacada">
    <w:name w:val="Intense Quote"/>
    <w:basedOn w:val="Normal"/>
    <w:next w:val="Normal"/>
    <w:link w:val="CitadestacadaCar"/>
    <w:uiPriority w:val="30"/>
    <w:qFormat w:val="1"/>
    <w:rsid w:val="00F90175"/>
    <w:pPr>
      <w:pBdr>
        <w:top w:color="0f4761" w:space="10" w:sz="4" w:themeColor="accent1" w:themeShade="0000BF" w:val="single"/>
        <w:bottom w:color="0f4761" w:space="10" w:sz="4" w:themeColor="accent1" w:themeShade="0000BF" w:val="single"/>
      </w:pBdr>
      <w:spacing w:after="360" w:before="360"/>
      <w:ind w:left="864" w:right="864"/>
      <w:jc w:val="center"/>
    </w:pPr>
    <w:rPr>
      <w:i w:val="1"/>
      <w:iCs w:val="1"/>
      <w:color w:val="0f4761" w:themeColor="accent1" w:themeShade="0000BF"/>
    </w:rPr>
  </w:style>
  <w:style w:type="character" w:styleId="CitadestacadaCar" w:customStyle="1">
    <w:name w:val="Cita destacada Car"/>
    <w:basedOn w:val="Fuentedeprrafopredeter"/>
    <w:link w:val="Citadestacada"/>
    <w:uiPriority w:val="30"/>
    <w:rsid w:val="00F90175"/>
    <w:rPr>
      <w:i w:val="1"/>
      <w:iCs w:val="1"/>
      <w:color w:val="0f4761" w:themeColor="accent1" w:themeShade="0000BF"/>
    </w:rPr>
  </w:style>
  <w:style w:type="character" w:styleId="Referenciaintensa">
    <w:name w:val="Intense Reference"/>
    <w:basedOn w:val="Fuentedeprrafopredeter"/>
    <w:uiPriority w:val="32"/>
    <w:qFormat w:val="1"/>
    <w:rsid w:val="00F90175"/>
    <w:rPr>
      <w:b w:val="1"/>
      <w:bCs w:val="1"/>
      <w:smallCaps w:val="1"/>
      <w:color w:val="0f4761" w:themeColor="accent1" w:themeShade="0000BF"/>
      <w:spacing w:val="5"/>
    </w:rPr>
  </w:style>
  <w:style w:type="paragraph" w:styleId="Descripcin">
    <w:name w:val="caption"/>
    <w:basedOn w:val="Normal"/>
    <w:next w:val="Normal"/>
    <w:uiPriority w:val="35"/>
    <w:unhideWhenUsed w:val="1"/>
    <w:qFormat w:val="1"/>
    <w:rsid w:val="00F90175"/>
    <w:pPr>
      <w:spacing w:after="200" w:line="240" w:lineRule="auto"/>
    </w:pPr>
    <w:rPr>
      <w:i w:val="1"/>
      <w:iCs w:val="1"/>
      <w:color w:val="0e2841" w:themeColor="text2"/>
      <w:sz w:val="18"/>
      <w:szCs w:val="18"/>
    </w:rPr>
  </w:style>
  <w:style w:type="paragraph" w:styleId="Textonotapie">
    <w:name w:val="footnote text"/>
    <w:basedOn w:val="Normal"/>
    <w:link w:val="TextonotapieCar"/>
    <w:uiPriority w:val="99"/>
    <w:semiHidden w:val="1"/>
    <w:unhideWhenUsed w:val="1"/>
    <w:rsid w:val="00F90175"/>
    <w:pPr>
      <w:spacing w:after="0" w:line="240" w:lineRule="auto"/>
    </w:pPr>
    <w:rPr>
      <w:sz w:val="20"/>
      <w:szCs w:val="20"/>
    </w:rPr>
  </w:style>
  <w:style w:type="character" w:styleId="TextonotapieCar" w:customStyle="1">
    <w:name w:val="Texto nota pie Car"/>
    <w:basedOn w:val="Fuentedeprrafopredeter"/>
    <w:link w:val="Textonotapie"/>
    <w:uiPriority w:val="99"/>
    <w:semiHidden w:val="1"/>
    <w:rsid w:val="00F90175"/>
    <w:rPr>
      <w:rFonts w:ascii="Candara" w:hAnsi="Candara"/>
      <w:kern w:val="0"/>
      <w:sz w:val="20"/>
      <w:szCs w:val="20"/>
      <w:lang w:eastAsia="es-MX" w:val="es-MX"/>
    </w:rPr>
  </w:style>
  <w:style w:type="character" w:styleId="Refdenotaalpie">
    <w:name w:val="footnote reference"/>
    <w:basedOn w:val="Fuentedeprrafopredeter"/>
    <w:uiPriority w:val="99"/>
    <w:semiHidden w:val="1"/>
    <w:unhideWhenUsed w:val="1"/>
    <w:rsid w:val="00F90175"/>
    <w:rPr>
      <w:vertAlign w:val="superscript"/>
    </w:rPr>
  </w:style>
  <w:style w:type="character" w:styleId="Hipervnculo">
    <w:name w:val="Hyperlink"/>
    <w:basedOn w:val="Fuentedeprrafopredeter"/>
    <w:uiPriority w:val="99"/>
    <w:unhideWhenUsed w:val="1"/>
    <w:rsid w:val="00DC1474"/>
    <w:rPr>
      <w:color w:val="467886" w:themeColor="hyperlink"/>
      <w:u w:val="single"/>
    </w:rPr>
  </w:style>
  <w:style w:type="character" w:styleId="Mencinsinresolver">
    <w:name w:val="Unresolved Mention"/>
    <w:basedOn w:val="Fuentedeprrafopredeter"/>
    <w:uiPriority w:val="99"/>
    <w:semiHidden w:val="1"/>
    <w:unhideWhenUsed w:val="1"/>
    <w:rsid w:val="00DC1474"/>
    <w:rPr>
      <w:color w:val="605e5c"/>
      <w:shd w:color="auto" w:fill="e1dfdd" w:val="clear"/>
    </w:rPr>
  </w:style>
  <w:style w:type="character" w:styleId="Hipervnculovisitado">
    <w:name w:val="FollowedHyperlink"/>
    <w:basedOn w:val="Fuentedeprrafopredeter"/>
    <w:uiPriority w:val="99"/>
    <w:semiHidden w:val="1"/>
    <w:unhideWhenUsed w:val="1"/>
    <w:rsid w:val="00807841"/>
    <w:rPr>
      <w:color w:val="96607d" w:themeColor="followedHyperlink"/>
      <w:u w:val="single"/>
    </w:rPr>
  </w:style>
  <w:style w:type="table" w:styleId="Tablaconcuadrcula">
    <w:name w:val="Table Grid"/>
    <w:basedOn w:val="Tablanormal"/>
    <w:uiPriority w:val="39"/>
    <w:rsid w:val="00202F1D"/>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Encabezado">
    <w:name w:val="header"/>
    <w:basedOn w:val="Normal"/>
    <w:link w:val="EncabezadoCar"/>
    <w:uiPriority w:val="99"/>
    <w:unhideWhenUsed w:val="1"/>
    <w:rsid w:val="00007F02"/>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007F02"/>
    <w:rPr>
      <w:rFonts w:ascii="Candara" w:hAnsi="Candara"/>
      <w:kern w:val="0"/>
      <w:sz w:val="24"/>
      <w:lang w:eastAsia="es-MX" w:val="es-MX"/>
    </w:rPr>
  </w:style>
  <w:style w:type="paragraph" w:styleId="Piedepgina">
    <w:name w:val="footer"/>
    <w:basedOn w:val="Normal"/>
    <w:link w:val="PiedepginaCar"/>
    <w:uiPriority w:val="99"/>
    <w:unhideWhenUsed w:val="1"/>
    <w:rsid w:val="00007F02"/>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007F02"/>
    <w:rPr>
      <w:rFonts w:ascii="Candara" w:hAnsi="Candara"/>
      <w:kern w:val="0"/>
      <w:sz w:val="24"/>
      <w:lang w:eastAsia="es-MX" w:val="es-MX"/>
    </w:rPr>
  </w:style>
  <w:style w:type="character" w:styleId="Refdecomentario">
    <w:name w:val="annotation reference"/>
    <w:basedOn w:val="Fuentedeprrafopredeter"/>
    <w:uiPriority w:val="99"/>
    <w:semiHidden w:val="1"/>
    <w:unhideWhenUsed w:val="1"/>
    <w:rsid w:val="001E7CA0"/>
    <w:rPr>
      <w:sz w:val="16"/>
      <w:szCs w:val="16"/>
    </w:rPr>
  </w:style>
  <w:style w:type="paragraph" w:styleId="Textocomentario">
    <w:name w:val="annotation text"/>
    <w:basedOn w:val="Normal"/>
    <w:link w:val="TextocomentarioCar"/>
    <w:uiPriority w:val="99"/>
    <w:unhideWhenUsed w:val="1"/>
    <w:rsid w:val="001E7CA0"/>
    <w:pPr>
      <w:spacing w:line="240" w:lineRule="auto"/>
    </w:pPr>
    <w:rPr>
      <w:sz w:val="20"/>
      <w:szCs w:val="20"/>
    </w:rPr>
  </w:style>
  <w:style w:type="character" w:styleId="TextocomentarioCar" w:customStyle="1">
    <w:name w:val="Texto comentario Car"/>
    <w:basedOn w:val="Fuentedeprrafopredeter"/>
    <w:link w:val="Textocomentario"/>
    <w:uiPriority w:val="99"/>
    <w:rsid w:val="001E7CA0"/>
    <w:rPr>
      <w:rFonts w:ascii="Candara" w:hAnsi="Candara"/>
      <w:kern w:val="0"/>
      <w:sz w:val="20"/>
      <w:szCs w:val="20"/>
      <w:lang w:eastAsia="es-MX" w:val="es-MX"/>
    </w:rPr>
  </w:style>
  <w:style w:type="paragraph" w:styleId="Asuntodelcomentario">
    <w:name w:val="annotation subject"/>
    <w:basedOn w:val="Textocomentario"/>
    <w:next w:val="Textocomentario"/>
    <w:link w:val="AsuntodelcomentarioCar"/>
    <w:uiPriority w:val="99"/>
    <w:semiHidden w:val="1"/>
    <w:unhideWhenUsed w:val="1"/>
    <w:rsid w:val="001E7CA0"/>
    <w:rPr>
      <w:b w:val="1"/>
      <w:bCs w:val="1"/>
    </w:rPr>
  </w:style>
  <w:style w:type="character" w:styleId="AsuntodelcomentarioCar" w:customStyle="1">
    <w:name w:val="Asunto del comentario Car"/>
    <w:basedOn w:val="TextocomentarioCar"/>
    <w:link w:val="Asuntodelcomentario"/>
    <w:uiPriority w:val="99"/>
    <w:semiHidden w:val="1"/>
    <w:rsid w:val="001E7CA0"/>
    <w:rPr>
      <w:rFonts w:ascii="Candara" w:hAnsi="Candara"/>
      <w:b w:val="1"/>
      <w:bCs w:val="1"/>
      <w:kern w:val="0"/>
      <w:sz w:val="20"/>
      <w:szCs w:val="20"/>
      <w:lang w:eastAsia="es-MX" w:val="es-MX"/>
    </w:rPr>
  </w:style>
  <w:style w:type="paragraph" w:styleId="Revisin">
    <w:name w:val="Revision"/>
    <w:hidden w:val="1"/>
    <w:uiPriority w:val="99"/>
    <w:semiHidden w:val="1"/>
    <w:rsid w:val="006F5B03"/>
    <w:pPr>
      <w:spacing w:after="0" w:line="240" w:lineRule="auto"/>
    </w:pPr>
  </w:style>
  <w:style w:type="paragraph" w:styleId="TtuloTDC">
    <w:name w:val="TOC Heading"/>
    <w:basedOn w:val="Ttulo1"/>
    <w:next w:val="Normal"/>
    <w:uiPriority w:val="39"/>
    <w:unhideWhenUsed w:val="1"/>
    <w:qFormat w:val="1"/>
    <w:rsid w:val="00F85399"/>
    <w:pPr>
      <w:spacing w:after="0" w:before="240"/>
      <w:outlineLvl w:val="9"/>
    </w:pPr>
    <w:rPr>
      <w:sz w:val="32"/>
      <w:szCs w:val="32"/>
    </w:rPr>
  </w:style>
  <w:style w:type="paragraph" w:styleId="TDC1">
    <w:name w:val="toc 1"/>
    <w:basedOn w:val="Normal"/>
    <w:next w:val="Normal"/>
    <w:autoRedefine w:val="1"/>
    <w:uiPriority w:val="39"/>
    <w:unhideWhenUsed w:val="1"/>
    <w:rsid w:val="00F85399"/>
    <w:pPr>
      <w:spacing w:after="100"/>
    </w:pPr>
  </w:style>
  <w:style w:type="paragraph" w:styleId="TDC2">
    <w:name w:val="toc 2"/>
    <w:basedOn w:val="Normal"/>
    <w:next w:val="Normal"/>
    <w:autoRedefine w:val="1"/>
    <w:uiPriority w:val="39"/>
    <w:unhideWhenUsed w:val="1"/>
    <w:rsid w:val="00F85399"/>
    <w:pPr>
      <w:spacing w:after="100"/>
      <w:ind w:left="240"/>
    </w:pPr>
  </w:style>
  <w:style w:type="paragraph" w:styleId="TDC3">
    <w:name w:val="toc 3"/>
    <w:basedOn w:val="Normal"/>
    <w:next w:val="Normal"/>
    <w:autoRedefine w:val="1"/>
    <w:uiPriority w:val="39"/>
    <w:unhideWhenUsed w:val="1"/>
    <w:rsid w:val="00F85399"/>
    <w:pPr>
      <w:spacing w:after="100"/>
      <w:ind w:left="480"/>
    </w:pPr>
  </w:style>
  <w:style w:type="table" w:styleId="a" w:customStyle="1">
    <w:basedOn w:val="TableNormal1"/>
    <w:tblPr>
      <w:tblStyleRowBandSize w:val="1"/>
      <w:tblStyleColBandSize w:val="1"/>
      <w:tblCellMar>
        <w:left w:w="70.0" w:type="dxa"/>
        <w:right w:w="70.0" w:type="dxa"/>
      </w:tblCellMar>
    </w:tblPr>
  </w:style>
  <w:style w:type="table" w:styleId="a0" w:customStyle="1">
    <w:basedOn w:val="TableNormal1"/>
    <w:tblPr>
      <w:tblStyleRowBandSize w:val="1"/>
      <w:tblStyleColBandSize w:val="1"/>
      <w:tblCellMar>
        <w:left w:w="70.0" w:type="dxa"/>
        <w:right w:w="70.0" w:type="dxa"/>
      </w:tblCellMar>
    </w:tblPr>
  </w:style>
  <w:style w:type="table" w:styleId="a1" w:customStyle="1">
    <w:basedOn w:val="TableNormal1"/>
    <w:tblPr>
      <w:tblStyleRowBandSize w:val="1"/>
      <w:tblStyleColBandSize w:val="1"/>
      <w:tblCellMar>
        <w:left w:w="70.0" w:type="dxa"/>
        <w:right w:w="70.0" w:type="dxa"/>
      </w:tblCellMar>
    </w:tblPr>
  </w:style>
  <w:style w:type="table" w:styleId="a2" w:customStyle="1">
    <w:basedOn w:val="TableNormal1"/>
    <w:tblPr>
      <w:tblStyleRowBandSize w:val="1"/>
      <w:tblStyleColBandSize w:val="1"/>
      <w:tblCellMar>
        <w:left w:w="70.0" w:type="dxa"/>
        <w:right w:w="70.0" w:type="dxa"/>
      </w:tblCellMar>
    </w:tblPr>
  </w:style>
  <w:style w:type="table" w:styleId="a3" w:customStyle="1">
    <w:basedOn w:val="TableNormal1"/>
    <w:tblPr>
      <w:tblStyleRowBandSize w:val="1"/>
      <w:tblStyleColBandSize w:val="1"/>
      <w:tblCellMar>
        <w:left w:w="70.0" w:type="dxa"/>
        <w:right w:w="70.0" w:type="dxa"/>
      </w:tblCellMar>
    </w:tblPr>
  </w:style>
  <w:style w:type="table" w:styleId="a4" w:customStyle="1">
    <w:basedOn w:val="TableNormal1"/>
    <w:tblPr>
      <w:tblStyleRowBandSize w:val="1"/>
      <w:tblStyleColBandSize w:val="1"/>
      <w:tblCellMar>
        <w:left w:w="70.0" w:type="dxa"/>
        <w:right w:w="70.0" w:type="dxa"/>
      </w:tblCellMar>
    </w:tblPr>
  </w:style>
  <w:style w:type="table" w:styleId="a5" w:customStyle="1">
    <w:basedOn w:val="TableNormal1"/>
    <w:tblPr>
      <w:tblStyleRowBandSize w:val="1"/>
      <w:tblStyleColBandSize w:val="1"/>
      <w:tblCellMar>
        <w:left w:w="70.0" w:type="dxa"/>
        <w:right w:w="70.0" w:type="dxa"/>
      </w:tblCellMar>
    </w:tblPr>
  </w:style>
  <w:style w:type="table" w:styleId="a6" w:customStyle="1">
    <w:basedOn w:val="TableNormal1"/>
    <w:pPr>
      <w:spacing w:after="0" w:line="240" w:lineRule="auto"/>
    </w:pPr>
    <w:tblPr>
      <w:tblStyleRowBandSize w:val="1"/>
      <w:tblStyleColBandSize w:val="1"/>
      <w:tblCellMar>
        <w:left w:w="108.0" w:type="dxa"/>
        <w:right w:w="108.0" w:type="dxa"/>
      </w:tblCellMar>
    </w:tblPr>
  </w:style>
  <w:style w:type="table" w:styleId="a7" w:customStyle="1">
    <w:basedOn w:val="TableNormal1"/>
    <w:tblPr>
      <w:tblStyleRowBandSize w:val="1"/>
      <w:tblStyleColBandSize w:val="1"/>
      <w:tblCellMar>
        <w:left w:w="70.0" w:type="dxa"/>
        <w:right w:w="70.0" w:type="dxa"/>
      </w:tblCellMar>
    </w:tblPr>
  </w:style>
  <w:style w:type="table" w:styleId="a8" w:customStyle="1">
    <w:basedOn w:val="TableNormal1"/>
    <w:tblPr>
      <w:tblStyleRowBandSize w:val="1"/>
      <w:tblStyleColBandSize w:val="1"/>
      <w:tblCellMar>
        <w:left w:w="70.0" w:type="dxa"/>
        <w:right w:w="70.0" w:type="dxa"/>
      </w:tblCellMar>
    </w:tblPr>
  </w:style>
  <w:style w:type="table" w:styleId="a9" w:customStyle="1">
    <w:basedOn w:val="TableNormal1"/>
    <w:tblPr>
      <w:tblStyleRowBandSize w:val="1"/>
      <w:tblStyleColBandSize w:val="1"/>
      <w:tblCellMar>
        <w:left w:w="70.0" w:type="dxa"/>
        <w:right w:w="70.0" w:type="dxa"/>
      </w:tblCellMar>
    </w:tblPr>
  </w:style>
  <w:style w:type="table" w:styleId="aa" w:customStyle="1">
    <w:basedOn w:val="TableNormal1"/>
    <w:tblPr>
      <w:tblStyleRowBandSize w:val="1"/>
      <w:tblStyleColBandSize w:val="1"/>
      <w:tblCellMar>
        <w:left w:w="70.0" w:type="dxa"/>
        <w:right w:w="70.0" w:type="dxa"/>
      </w:tblCellMar>
    </w:tblPr>
  </w:style>
  <w:style w:type="table" w:styleId="ab" w:customStyle="1">
    <w:basedOn w:val="TableNormal1"/>
    <w:tblPr>
      <w:tblStyleRowBandSize w:val="1"/>
      <w:tblStyleColBandSize w:val="1"/>
      <w:tblCellMar>
        <w:left w:w="70.0" w:type="dxa"/>
        <w:right w:w="70.0" w:type="dxa"/>
      </w:tblCellMar>
    </w:tblPr>
  </w:style>
  <w:style w:type="table" w:styleId="ac" w:customStyle="1">
    <w:basedOn w:val="TableNormal1"/>
    <w:tblPr>
      <w:tblStyleRowBandSize w:val="1"/>
      <w:tblStyleColBandSize w:val="1"/>
      <w:tblCellMar>
        <w:left w:w="70.0" w:type="dxa"/>
        <w:right w:w="70.0" w:type="dxa"/>
      </w:tblCellMar>
    </w:tblPr>
  </w:style>
  <w:style w:type="table" w:styleId="ad" w:customStyle="1">
    <w:basedOn w:val="TableNormal1"/>
    <w:tblPr>
      <w:tblStyleRowBandSize w:val="1"/>
      <w:tblStyleColBandSize w:val="1"/>
      <w:tblCellMar>
        <w:left w:w="70.0" w:type="dxa"/>
        <w:right w:w="70.0" w:type="dxa"/>
      </w:tblCellMar>
    </w:tblPr>
  </w:style>
  <w:style w:type="table" w:styleId="ae" w:customStyle="1">
    <w:basedOn w:val="TableNormal1"/>
    <w:tblPr>
      <w:tblStyleRowBandSize w:val="1"/>
      <w:tblStyleColBandSize w:val="1"/>
      <w:tblCellMar>
        <w:left w:w="70.0" w:type="dxa"/>
        <w:right w:w="70.0" w:type="dxa"/>
      </w:tblCellMar>
    </w:tblPr>
  </w:style>
  <w:style w:type="table" w:styleId="af" w:customStyle="1">
    <w:basedOn w:val="TableNormal1"/>
    <w:tblPr>
      <w:tblStyleRowBandSize w:val="1"/>
      <w:tblStyleColBandSize w:val="1"/>
      <w:tblCellMar>
        <w:left w:w="70.0" w:type="dxa"/>
        <w:right w:w="70.0" w:type="dxa"/>
      </w:tblCellMar>
    </w:tblPr>
  </w:style>
  <w:style w:type="table" w:styleId="af0" w:customStyle="1">
    <w:basedOn w:val="TableNormal1"/>
    <w:tblPr>
      <w:tblStyleRowBandSize w:val="1"/>
      <w:tblStyleColBandSize w:val="1"/>
      <w:tblCellMar>
        <w:left w:w="70.0" w:type="dxa"/>
        <w:right w:w="70.0" w:type="dxa"/>
      </w:tblCellMar>
    </w:tblPr>
  </w:style>
  <w:style w:type="table" w:styleId="af1" w:customStyle="1">
    <w:basedOn w:val="TableNormal1"/>
    <w:tblPr>
      <w:tblStyleRowBandSize w:val="1"/>
      <w:tblStyleColBandSize w:val="1"/>
      <w:tblCellMar>
        <w:left w:w="70.0" w:type="dxa"/>
        <w:right w:w="70.0" w:type="dxa"/>
      </w:tblCellMar>
    </w:tblPr>
  </w:style>
  <w:style w:type="table" w:styleId="af2" w:customStyle="1">
    <w:basedOn w:val="TableNormal1"/>
    <w:tblPr>
      <w:tblStyleRowBandSize w:val="1"/>
      <w:tblStyleColBandSize w:val="1"/>
      <w:tblCellMar>
        <w:left w:w="70.0" w:type="dxa"/>
        <w:right w:w="70.0" w:type="dxa"/>
      </w:tblCellMar>
    </w:tblPr>
  </w:style>
  <w:style w:type="table" w:styleId="af3" w:customStyle="1">
    <w:basedOn w:val="TableNormal1"/>
    <w:tblPr>
      <w:tblStyleRowBandSize w:val="1"/>
      <w:tblStyleColBandSize w:val="1"/>
      <w:tblCellMar>
        <w:left w:w="70.0" w:type="dxa"/>
        <w:right w:w="70.0" w:type="dxa"/>
      </w:tblCellMar>
    </w:tblPr>
  </w:style>
  <w:style w:type="table" w:styleId="af4" w:customStyle="1">
    <w:basedOn w:val="TableNormal1"/>
    <w:pPr>
      <w:spacing w:after="0" w:line="240" w:lineRule="auto"/>
    </w:pPr>
    <w:tblPr>
      <w:tblStyleRowBandSize w:val="1"/>
      <w:tblStyleColBandSize w:val="1"/>
      <w:tblCellMar>
        <w:left w:w="108.0" w:type="dxa"/>
        <w:right w:w="108.0" w:type="dxa"/>
      </w:tblCellMar>
    </w:tblPr>
  </w:style>
  <w:style w:type="table" w:styleId="af5" w:customStyle="1">
    <w:basedOn w:val="TableNormal1"/>
    <w:tblPr>
      <w:tblStyleRowBandSize w:val="1"/>
      <w:tblStyleColBandSize w:val="1"/>
      <w:tblCellMar>
        <w:left w:w="70.0" w:type="dxa"/>
        <w:right w:w="70.0" w:type="dxa"/>
      </w:tblCellMar>
    </w:tblPr>
  </w:style>
  <w:style w:type="table" w:styleId="af6" w:customStyle="1">
    <w:basedOn w:val="TableNormal1"/>
    <w:tblPr>
      <w:tblStyleRowBandSize w:val="1"/>
      <w:tblStyleColBandSize w:val="1"/>
      <w:tblCellMar>
        <w:left w:w="70.0" w:type="dxa"/>
        <w:right w:w="70.0" w:type="dxa"/>
      </w:tblCellMar>
    </w:tblPr>
  </w:style>
  <w:style w:type="table" w:styleId="af7" w:customStyle="1">
    <w:basedOn w:val="TableNormal1"/>
    <w:pPr>
      <w:spacing w:after="0" w:line="240" w:lineRule="auto"/>
    </w:pPr>
    <w:tblPr>
      <w:tblStyleRowBandSize w:val="1"/>
      <w:tblStyleColBandSize w:val="1"/>
      <w:tblCellMar>
        <w:left w:w="108.0" w:type="dxa"/>
        <w:right w:w="108.0" w:type="dxa"/>
      </w:tblCellMar>
    </w:tblPr>
  </w:style>
  <w:style w:type="table" w:styleId="af8" w:customStyle="1">
    <w:basedOn w:val="TableNormal1"/>
    <w:tblPr>
      <w:tblStyleRowBandSize w:val="1"/>
      <w:tblStyleColBandSize w:val="1"/>
      <w:tblCellMar>
        <w:left w:w="70.0" w:type="dxa"/>
        <w:right w:w="70.0" w:type="dxa"/>
      </w:tblCellMar>
    </w:tblPr>
  </w:style>
  <w:style w:type="table" w:styleId="af9" w:customStyle="1">
    <w:basedOn w:val="TableNormal1"/>
    <w:tblPr>
      <w:tblStyleRowBandSize w:val="1"/>
      <w:tblStyleColBandSize w:val="1"/>
      <w:tblCellMar>
        <w:left w:w="70.0" w:type="dxa"/>
        <w:right w:w="70.0" w:type="dxa"/>
      </w:tblCellMar>
    </w:tblPr>
  </w:style>
  <w:style w:type="table" w:styleId="afa" w:customStyle="1">
    <w:basedOn w:val="TableNormal1"/>
    <w:tblPr>
      <w:tblStyleRowBandSize w:val="1"/>
      <w:tblStyleColBandSize w:val="1"/>
      <w:tblCellMar>
        <w:left w:w="70.0" w:type="dxa"/>
        <w:right w:w="70.0" w:type="dxa"/>
      </w:tblCellMar>
    </w:tblPr>
  </w:style>
  <w:style w:type="table" w:styleId="afb" w:customStyle="1">
    <w:basedOn w:val="TableNormal1"/>
    <w:tblPr>
      <w:tblStyleRowBandSize w:val="1"/>
      <w:tblStyleColBandSize w:val="1"/>
      <w:tblCellMar>
        <w:left w:w="70.0" w:type="dxa"/>
        <w:right w:w="70.0" w:type="dxa"/>
      </w:tblCellMar>
    </w:tblPr>
  </w:style>
  <w:style w:type="table" w:styleId="afc" w:customStyle="1">
    <w:basedOn w:val="TableNormal1"/>
    <w:tblPr>
      <w:tblStyleRowBandSize w:val="1"/>
      <w:tblStyleColBandSize w:val="1"/>
      <w:tblCellMar>
        <w:left w:w="70.0" w:type="dxa"/>
        <w:right w:w="70.0" w:type="dxa"/>
      </w:tblCellMar>
    </w:tblPr>
  </w:style>
  <w:style w:type="table" w:styleId="afd" w:customStyle="1">
    <w:basedOn w:val="TableNormal1"/>
    <w:tblPr>
      <w:tblStyleRowBandSize w:val="1"/>
      <w:tblStyleColBandSize w:val="1"/>
      <w:tblCellMar>
        <w:left w:w="70.0" w:type="dxa"/>
        <w:right w:w="70.0" w:type="dxa"/>
      </w:tblCellMar>
    </w:tblPr>
  </w:style>
  <w:style w:type="table" w:styleId="afe" w:customStyle="1">
    <w:basedOn w:val="TableNormal1"/>
    <w:tblPr>
      <w:tblStyleRowBandSize w:val="1"/>
      <w:tblStyleColBandSize w:val="1"/>
      <w:tblCellMar>
        <w:left w:w="70.0" w:type="dxa"/>
        <w:right w:w="70.0" w:type="dxa"/>
      </w:tblCellMar>
    </w:tblPr>
  </w:style>
  <w:style w:type="table" w:styleId="aff" w:customStyle="1">
    <w:basedOn w:val="TableNormal1"/>
    <w:tblPr>
      <w:tblStyleRowBandSize w:val="1"/>
      <w:tblStyleColBandSize w:val="1"/>
      <w:tblCellMar>
        <w:left w:w="70.0" w:type="dxa"/>
        <w:right w:w="70.0" w:type="dxa"/>
      </w:tblCellMar>
    </w:tblPr>
  </w:style>
  <w:style w:type="table" w:styleId="aff0" w:customStyle="1">
    <w:basedOn w:val="TableNormal1"/>
    <w:pPr>
      <w:spacing w:after="0" w:line="240" w:lineRule="auto"/>
    </w:pPr>
    <w:tblPr>
      <w:tblStyleRowBandSize w:val="1"/>
      <w:tblStyleColBandSize w:val="1"/>
      <w:tblCellMar>
        <w:left w:w="108.0" w:type="dxa"/>
        <w:right w:w="108.0" w:type="dxa"/>
      </w:tblCellMar>
    </w:tblPr>
  </w:style>
  <w:style w:type="table" w:styleId="aff1" w:customStyle="1">
    <w:basedOn w:val="TableNormal1"/>
    <w:tblPr>
      <w:tblStyleRowBandSize w:val="1"/>
      <w:tblStyleColBandSize w:val="1"/>
      <w:tblCellMar>
        <w:left w:w="70.0" w:type="dxa"/>
        <w:right w:w="70.0" w:type="dxa"/>
      </w:tblCellMar>
    </w:tblPr>
  </w:style>
  <w:style w:type="table" w:styleId="aff2" w:customStyle="1">
    <w:basedOn w:val="TableNormal1"/>
    <w:tblPr>
      <w:tblStyleRowBandSize w:val="1"/>
      <w:tblStyleColBandSize w:val="1"/>
      <w:tblCellMar>
        <w:left w:w="70.0" w:type="dxa"/>
        <w:right w:w="70.0" w:type="dxa"/>
      </w:tblCellMar>
    </w:tblPr>
  </w:style>
  <w:style w:type="table" w:styleId="aff3" w:customStyle="1">
    <w:basedOn w:val="TableNormal1"/>
    <w:tblPr>
      <w:tblStyleRowBandSize w:val="1"/>
      <w:tblStyleColBandSize w:val="1"/>
      <w:tblCellMar>
        <w:left w:w="70.0" w:type="dxa"/>
        <w:right w:w="70.0" w:type="dxa"/>
      </w:tblCellMar>
    </w:tblPr>
  </w:style>
  <w:style w:type="table" w:styleId="aff4" w:customStyle="1">
    <w:basedOn w:val="TableNormal1"/>
    <w:tblPr>
      <w:tblStyleRowBandSize w:val="1"/>
      <w:tblStyleColBandSize w:val="1"/>
      <w:tblCellMar>
        <w:left w:w="70.0" w:type="dxa"/>
        <w:right w:w="70.0" w:type="dxa"/>
      </w:tblCellMar>
    </w:tblPr>
  </w:style>
  <w:style w:type="table" w:styleId="aff5" w:customStyle="1">
    <w:basedOn w:val="TableNormal1"/>
    <w:tblPr>
      <w:tblStyleRowBandSize w:val="1"/>
      <w:tblStyleColBandSize w:val="1"/>
      <w:tblCellMar>
        <w:left w:w="70.0" w:type="dxa"/>
        <w:right w:w="70.0" w:type="dxa"/>
      </w:tblCellMar>
    </w:tblPr>
  </w:style>
  <w:style w:type="table" w:styleId="aff6" w:customStyle="1">
    <w:basedOn w:val="TableNormal1"/>
    <w:tblPr>
      <w:tblStyleRowBandSize w:val="1"/>
      <w:tblStyleColBandSize w:val="1"/>
      <w:tblCellMar>
        <w:left w:w="70.0" w:type="dxa"/>
        <w:right w:w="70.0" w:type="dxa"/>
      </w:tblCellMar>
    </w:tblPr>
  </w:style>
  <w:style w:type="table" w:styleId="aff7" w:customStyle="1">
    <w:basedOn w:val="TableNormal1"/>
    <w:tblPr>
      <w:tblStyleRowBandSize w:val="1"/>
      <w:tblStyleColBandSize w:val="1"/>
      <w:tblCellMar>
        <w:left w:w="70.0" w:type="dxa"/>
        <w:right w:w="70.0" w:type="dxa"/>
      </w:tblCellMar>
    </w:tblPr>
  </w:style>
  <w:style w:type="table" w:styleId="aff8" w:customStyle="1">
    <w:basedOn w:val="TableNormal1"/>
    <w:tblPr>
      <w:tblStyleRowBandSize w:val="1"/>
      <w:tblStyleColBandSize w:val="1"/>
      <w:tblCellMar>
        <w:left w:w="70.0" w:type="dxa"/>
        <w:right w:w="70.0" w:type="dxa"/>
      </w:tblCellMar>
    </w:tblPr>
  </w:style>
  <w:style w:type="table" w:styleId="aff9" w:customStyle="1">
    <w:basedOn w:val="TableNormal1"/>
    <w:tblPr>
      <w:tblStyleRowBandSize w:val="1"/>
      <w:tblStyleColBandSize w:val="1"/>
      <w:tblCellMar>
        <w:left w:w="70.0" w:type="dxa"/>
        <w:right w:w="70.0" w:type="dxa"/>
      </w:tblCellMar>
    </w:tblPr>
  </w:style>
  <w:style w:type="table" w:styleId="affa" w:customStyle="1">
    <w:basedOn w:val="TableNormal1"/>
    <w:tblPr>
      <w:tblStyleRowBandSize w:val="1"/>
      <w:tblStyleColBandSize w:val="1"/>
      <w:tblCellMar>
        <w:left w:w="70.0" w:type="dxa"/>
        <w:right w:w="70.0" w:type="dxa"/>
      </w:tblCellMar>
    </w:tblPr>
  </w:style>
  <w:style w:type="table" w:styleId="affb" w:customStyle="1">
    <w:basedOn w:val="TableNormal1"/>
    <w:tblPr>
      <w:tblStyleRowBandSize w:val="1"/>
      <w:tblStyleColBandSize w:val="1"/>
      <w:tblCellMar>
        <w:left w:w="70.0" w:type="dxa"/>
        <w:right w:w="70.0" w:type="dxa"/>
      </w:tblCellMar>
    </w:tblPr>
  </w:style>
  <w:style w:type="table" w:styleId="affc" w:customStyle="1">
    <w:basedOn w:val="TableNormal1"/>
    <w:tblPr>
      <w:tblStyleRowBandSize w:val="1"/>
      <w:tblStyleColBandSize w:val="1"/>
      <w:tblCellMar>
        <w:left w:w="70.0" w:type="dxa"/>
        <w:right w:w="70.0" w:type="dxa"/>
      </w:tblCellMar>
    </w:tblPr>
  </w:style>
  <w:style w:type="table" w:styleId="affd" w:customStyle="1">
    <w:basedOn w:val="TableNormal1"/>
    <w:tblPr>
      <w:tblStyleRowBandSize w:val="1"/>
      <w:tblStyleColBandSize w:val="1"/>
      <w:tblCellMar>
        <w:left w:w="70.0" w:type="dxa"/>
        <w:right w:w="70.0" w:type="dxa"/>
      </w:tblCellMar>
    </w:tblPr>
  </w:style>
  <w:style w:type="table" w:styleId="affe" w:customStyle="1">
    <w:basedOn w:val="TableNormal1"/>
    <w:pPr>
      <w:spacing w:after="0" w:line="240" w:lineRule="auto"/>
    </w:pPr>
    <w:tblPr>
      <w:tblStyleRowBandSize w:val="1"/>
      <w:tblStyleColBandSize w:val="1"/>
      <w:tblCellMar>
        <w:left w:w="108.0" w:type="dxa"/>
        <w:right w:w="108.0" w:type="dxa"/>
      </w:tblCellMar>
    </w:tblPr>
  </w:style>
  <w:style w:type="table" w:styleId="afff" w:customStyle="1">
    <w:basedOn w:val="TableNormal1"/>
    <w:tblPr>
      <w:tblStyleRowBandSize w:val="1"/>
      <w:tblStyleColBandSize w:val="1"/>
      <w:tblCellMar>
        <w:left w:w="70.0" w:type="dxa"/>
        <w:right w:w="70.0" w:type="dxa"/>
      </w:tblCellMar>
    </w:tblPr>
  </w:style>
  <w:style w:type="table" w:styleId="afff0" w:customStyle="1">
    <w:basedOn w:val="TableNormal1"/>
    <w:tblPr>
      <w:tblStyleRowBandSize w:val="1"/>
      <w:tblStyleColBandSize w:val="1"/>
      <w:tblCellMar>
        <w:left w:w="70.0" w:type="dxa"/>
        <w:right w:w="70.0" w:type="dxa"/>
      </w:tblCellMar>
    </w:tblPr>
  </w:style>
  <w:style w:type="table" w:styleId="afff1" w:customStyle="1">
    <w:basedOn w:val="TableNormal1"/>
    <w:pPr>
      <w:spacing w:after="0" w:line="240" w:lineRule="auto"/>
    </w:pPr>
    <w:tblPr>
      <w:tblStyleRowBandSize w:val="1"/>
      <w:tblStyleColBandSize w:val="1"/>
      <w:tblCellMar>
        <w:left w:w="108.0" w:type="dxa"/>
        <w:right w:w="108.0" w:type="dxa"/>
      </w:tblCellMar>
    </w:tblPr>
  </w:style>
  <w:style w:type="table" w:styleId="afff2" w:customStyle="1">
    <w:basedOn w:val="TableNormal1"/>
    <w:tblPr>
      <w:tblStyleRowBandSize w:val="1"/>
      <w:tblStyleColBandSize w:val="1"/>
      <w:tblCellMar>
        <w:left w:w="70.0" w:type="dxa"/>
        <w:right w:w="70.0" w:type="dxa"/>
      </w:tblCellMar>
    </w:tblPr>
  </w:style>
  <w:style w:type="table" w:styleId="afff3" w:customStyle="1">
    <w:basedOn w:val="TableNormal0"/>
    <w:tblPr>
      <w:tblStyleRowBandSize w:val="1"/>
      <w:tblStyleColBandSize w:val="1"/>
      <w:tblCellMar>
        <w:left w:w="70.0" w:type="dxa"/>
        <w:right w:w="70.0" w:type="dxa"/>
      </w:tblCellMar>
    </w:tblPr>
  </w:style>
  <w:style w:type="table" w:styleId="afff4" w:customStyle="1">
    <w:basedOn w:val="TableNormal0"/>
    <w:tblPr>
      <w:tblStyleRowBandSize w:val="1"/>
      <w:tblStyleColBandSize w:val="1"/>
      <w:tblCellMar>
        <w:left w:w="70.0" w:type="dxa"/>
        <w:right w:w="70.0" w:type="dxa"/>
      </w:tblCellMar>
    </w:tblPr>
  </w:style>
  <w:style w:type="table" w:styleId="afff5" w:customStyle="1">
    <w:basedOn w:val="TableNormal0"/>
    <w:tblPr>
      <w:tblStyleRowBandSize w:val="1"/>
      <w:tblStyleColBandSize w:val="1"/>
      <w:tblCellMar>
        <w:left w:w="70.0" w:type="dxa"/>
        <w:right w:w="70.0" w:type="dxa"/>
      </w:tblCellMar>
    </w:tblPr>
  </w:style>
  <w:style w:type="table" w:styleId="afff6" w:customStyle="1">
    <w:basedOn w:val="TableNormal0"/>
    <w:tblPr>
      <w:tblStyleRowBandSize w:val="1"/>
      <w:tblStyleColBandSize w:val="1"/>
      <w:tblCellMar>
        <w:left w:w="70.0" w:type="dxa"/>
        <w:right w:w="70.0" w:type="dxa"/>
      </w:tblCellMar>
    </w:tblPr>
  </w:style>
  <w:style w:type="table" w:styleId="afff7" w:customStyle="1">
    <w:basedOn w:val="TableNormal0"/>
    <w:tblPr>
      <w:tblStyleRowBandSize w:val="1"/>
      <w:tblStyleColBandSize w:val="1"/>
      <w:tblCellMar>
        <w:left w:w="70.0" w:type="dxa"/>
        <w:right w:w="70.0" w:type="dxa"/>
      </w:tblCellMar>
    </w:tblPr>
  </w:style>
  <w:style w:type="table" w:styleId="afff8" w:customStyle="1">
    <w:basedOn w:val="TableNormal0"/>
    <w:tblPr>
      <w:tblStyleRowBandSize w:val="1"/>
      <w:tblStyleColBandSize w:val="1"/>
      <w:tblCellMar>
        <w:left w:w="70.0" w:type="dxa"/>
        <w:right w:w="70.0" w:type="dxa"/>
      </w:tblCellMar>
    </w:tblPr>
  </w:style>
  <w:style w:type="table" w:styleId="afff9" w:customStyle="1">
    <w:basedOn w:val="TableNormal0"/>
    <w:tblPr>
      <w:tblStyleRowBandSize w:val="1"/>
      <w:tblStyleColBandSize w:val="1"/>
      <w:tblCellMar>
        <w:left w:w="70.0" w:type="dxa"/>
        <w:right w:w="70.0" w:type="dxa"/>
      </w:tblCellMar>
    </w:tblPr>
  </w:style>
  <w:style w:type="table" w:styleId="afffa" w:customStyle="1">
    <w:basedOn w:val="TableNormal0"/>
    <w:pPr>
      <w:spacing w:after="0" w:line="240" w:lineRule="auto"/>
    </w:pPr>
    <w:tblPr>
      <w:tblStyleRowBandSize w:val="1"/>
      <w:tblStyleColBandSize w:val="1"/>
      <w:tblCellMar>
        <w:left w:w="108.0" w:type="dxa"/>
        <w:right w:w="108.0" w:type="dxa"/>
      </w:tblCellMar>
    </w:tblPr>
  </w:style>
  <w:style w:type="table" w:styleId="afffb" w:customStyle="1">
    <w:basedOn w:val="TableNormal0"/>
    <w:tblPr>
      <w:tblStyleRowBandSize w:val="1"/>
      <w:tblStyleColBandSize w:val="1"/>
      <w:tblCellMar>
        <w:left w:w="70.0" w:type="dxa"/>
        <w:right w:w="70.0" w:type="dxa"/>
      </w:tblCellMar>
    </w:tblPr>
  </w:style>
  <w:style w:type="table" w:styleId="afffc" w:customStyle="1">
    <w:basedOn w:val="TableNormal0"/>
    <w:tblPr>
      <w:tblStyleRowBandSize w:val="1"/>
      <w:tblStyleColBandSize w:val="1"/>
      <w:tblCellMar>
        <w:left w:w="70.0" w:type="dxa"/>
        <w:right w:w="70.0" w:type="dxa"/>
      </w:tblCellMar>
    </w:tblPr>
  </w:style>
  <w:style w:type="table" w:styleId="afffd" w:customStyle="1">
    <w:basedOn w:val="TableNormal0"/>
    <w:tblPr>
      <w:tblStyleRowBandSize w:val="1"/>
      <w:tblStyleColBandSize w:val="1"/>
      <w:tblCellMar>
        <w:left w:w="70.0" w:type="dxa"/>
        <w:right w:w="70.0" w:type="dxa"/>
      </w:tblCellMar>
    </w:tblPr>
  </w:style>
  <w:style w:type="table" w:styleId="afffe" w:customStyle="1">
    <w:basedOn w:val="TableNormal0"/>
    <w:tblPr>
      <w:tblStyleRowBandSize w:val="1"/>
      <w:tblStyleColBandSize w:val="1"/>
      <w:tblCellMar>
        <w:left w:w="70.0" w:type="dxa"/>
        <w:right w:w="70.0" w:type="dxa"/>
      </w:tblCellMar>
    </w:tblPr>
  </w:style>
  <w:style w:type="table" w:styleId="affff" w:customStyle="1">
    <w:basedOn w:val="TableNormal0"/>
    <w:tblPr>
      <w:tblStyleRowBandSize w:val="1"/>
      <w:tblStyleColBandSize w:val="1"/>
      <w:tblCellMar>
        <w:left w:w="70.0" w:type="dxa"/>
        <w:right w:w="70.0" w:type="dxa"/>
      </w:tblCellMar>
    </w:tblPr>
  </w:style>
  <w:style w:type="table" w:styleId="affff0" w:customStyle="1">
    <w:basedOn w:val="TableNormal0"/>
    <w:tblPr>
      <w:tblStyleRowBandSize w:val="1"/>
      <w:tblStyleColBandSize w:val="1"/>
      <w:tblCellMar>
        <w:left w:w="70.0" w:type="dxa"/>
        <w:right w:w="70.0" w:type="dxa"/>
      </w:tblCellMar>
    </w:tblPr>
  </w:style>
  <w:style w:type="table" w:styleId="affff1" w:customStyle="1">
    <w:basedOn w:val="TableNormal0"/>
    <w:tblPr>
      <w:tblStyleRowBandSize w:val="1"/>
      <w:tblStyleColBandSize w:val="1"/>
      <w:tblCellMar>
        <w:left w:w="70.0" w:type="dxa"/>
        <w:right w:w="70.0" w:type="dxa"/>
      </w:tblCellMar>
    </w:tblPr>
  </w:style>
  <w:style w:type="table" w:styleId="affff2" w:customStyle="1">
    <w:basedOn w:val="TableNormal0"/>
    <w:tblPr>
      <w:tblStyleRowBandSize w:val="1"/>
      <w:tblStyleColBandSize w:val="1"/>
      <w:tblCellMar>
        <w:left w:w="70.0" w:type="dxa"/>
        <w:right w:w="70.0" w:type="dxa"/>
      </w:tblCellMar>
    </w:tblPr>
  </w:style>
  <w:style w:type="table" w:styleId="affff3" w:customStyle="1">
    <w:basedOn w:val="TableNormal0"/>
    <w:tblPr>
      <w:tblStyleRowBandSize w:val="1"/>
      <w:tblStyleColBandSize w:val="1"/>
      <w:tblCellMar>
        <w:left w:w="70.0" w:type="dxa"/>
        <w:right w:w="70.0" w:type="dxa"/>
      </w:tblCellMar>
    </w:tblPr>
  </w:style>
  <w:style w:type="table" w:styleId="affff4" w:customStyle="1">
    <w:basedOn w:val="TableNormal0"/>
    <w:tblPr>
      <w:tblStyleRowBandSize w:val="1"/>
      <w:tblStyleColBandSize w:val="1"/>
      <w:tblCellMar>
        <w:left w:w="70.0" w:type="dxa"/>
        <w:right w:w="70.0" w:type="dxa"/>
      </w:tblCellMar>
    </w:tblPr>
  </w:style>
  <w:style w:type="table" w:styleId="affff5" w:customStyle="1">
    <w:basedOn w:val="TableNormal0"/>
    <w:tblPr>
      <w:tblStyleRowBandSize w:val="1"/>
      <w:tblStyleColBandSize w:val="1"/>
      <w:tblCellMar>
        <w:left w:w="70.0" w:type="dxa"/>
        <w:right w:w="70.0" w:type="dxa"/>
      </w:tblCellMar>
    </w:tblPr>
  </w:style>
  <w:style w:type="table" w:styleId="affff6" w:customStyle="1">
    <w:basedOn w:val="TableNormal0"/>
    <w:tblPr>
      <w:tblStyleRowBandSize w:val="1"/>
      <w:tblStyleColBandSize w:val="1"/>
      <w:tblCellMar>
        <w:left w:w="70.0" w:type="dxa"/>
        <w:right w:w="70.0" w:type="dxa"/>
      </w:tblCellMar>
    </w:tblPr>
  </w:style>
  <w:style w:type="table" w:styleId="affff7" w:customStyle="1">
    <w:basedOn w:val="TableNormal0"/>
    <w:tblPr>
      <w:tblStyleRowBandSize w:val="1"/>
      <w:tblStyleColBandSize w:val="1"/>
      <w:tblCellMar>
        <w:left w:w="70.0" w:type="dxa"/>
        <w:right w:w="70.0" w:type="dxa"/>
      </w:tblCellMar>
    </w:tblPr>
  </w:style>
  <w:style w:type="table" w:styleId="affff8" w:customStyle="1">
    <w:basedOn w:val="TableNormal0"/>
    <w:pPr>
      <w:spacing w:after="0" w:line="240" w:lineRule="auto"/>
    </w:pPr>
    <w:tblPr>
      <w:tblStyleRowBandSize w:val="1"/>
      <w:tblStyleColBandSize w:val="1"/>
      <w:tblCellMar>
        <w:left w:w="108.0" w:type="dxa"/>
        <w:right w:w="108.0" w:type="dxa"/>
      </w:tblCellMar>
    </w:tblPr>
  </w:style>
  <w:style w:type="table" w:styleId="affff9" w:customStyle="1">
    <w:basedOn w:val="TableNormal0"/>
    <w:tblPr>
      <w:tblStyleRowBandSize w:val="1"/>
      <w:tblStyleColBandSize w:val="1"/>
      <w:tblCellMar>
        <w:left w:w="70.0" w:type="dxa"/>
        <w:right w:w="70.0" w:type="dxa"/>
      </w:tblCellMar>
    </w:tblPr>
  </w:style>
  <w:style w:type="table" w:styleId="affffa" w:customStyle="1">
    <w:basedOn w:val="TableNormal0"/>
    <w:tblPr>
      <w:tblStyleRowBandSize w:val="1"/>
      <w:tblStyleColBandSize w:val="1"/>
      <w:tblCellMar>
        <w:left w:w="70.0" w:type="dxa"/>
        <w:right w:w="70.0" w:type="dxa"/>
      </w:tblCellMar>
    </w:tblPr>
  </w:style>
  <w:style w:type="table" w:styleId="affffb" w:customStyle="1">
    <w:basedOn w:val="TableNormal0"/>
    <w:pPr>
      <w:spacing w:after="0" w:line="240" w:lineRule="auto"/>
    </w:pPr>
    <w:tblPr>
      <w:tblStyleRowBandSize w:val="1"/>
      <w:tblStyleColBandSize w:val="1"/>
      <w:tblCellMar>
        <w:left w:w="108.0" w:type="dxa"/>
        <w:right w:w="108.0" w:type="dxa"/>
      </w:tblCellMar>
    </w:tblPr>
  </w:style>
  <w:style w:type="table" w:styleId="affffc" w:customStyle="1">
    <w:basedOn w:val="TableNormal0"/>
    <w:tblPr>
      <w:tblStyleRowBandSize w:val="1"/>
      <w:tblStyleColBandSize w:val="1"/>
      <w:tblCellMar>
        <w:left w:w="70.0" w:type="dxa"/>
        <w:right w:w="70.0" w:type="dxa"/>
      </w:tblCellMar>
    </w:tblPr>
  </w:style>
  <w:style w:type="paragraph" w:styleId="Subtitle">
    <w:name w:val="Subtitle"/>
    <w:basedOn w:val="Normal"/>
    <w:next w:val="Normal"/>
    <w:pPr/>
    <w:rPr>
      <w:color w:val="595959"/>
      <w:sz w:val="28"/>
      <w:szCs w:val="28"/>
    </w:rPr>
  </w:style>
  <w:style w:type="table" w:styleId="Table1">
    <w:basedOn w:val="TableNormal"/>
    <w:tblPr>
      <w:tblStyleRowBandSize w:val="1"/>
      <w:tblStyleColBandSize w:val="1"/>
      <w:tblCellMar>
        <w:top w:w="0.0" w:type="dxa"/>
        <w:left w:w="70.0" w:type="dxa"/>
        <w:bottom w:w="0.0" w:type="dxa"/>
        <w:right w:w="70.0" w:type="dxa"/>
      </w:tblCellMar>
    </w:tblPr>
  </w:style>
  <w:style w:type="table" w:styleId="Table2">
    <w:basedOn w:val="TableNormal"/>
    <w:tblPr>
      <w:tblStyleRowBandSize w:val="1"/>
      <w:tblStyleColBandSize w:val="1"/>
      <w:tblCellMar>
        <w:top w:w="0.0" w:type="dxa"/>
        <w:left w:w="70.0" w:type="dxa"/>
        <w:bottom w:w="0.0" w:type="dxa"/>
        <w:right w:w="70.0" w:type="dxa"/>
      </w:tblCellMar>
    </w:tblPr>
  </w:style>
  <w:style w:type="table" w:styleId="Table3">
    <w:basedOn w:val="TableNormal"/>
    <w:tblPr>
      <w:tblStyleRowBandSize w:val="1"/>
      <w:tblStyleColBandSize w:val="1"/>
      <w:tblCellMar>
        <w:top w:w="0.0" w:type="dxa"/>
        <w:left w:w="70.0" w:type="dxa"/>
        <w:bottom w:w="0.0" w:type="dxa"/>
        <w:right w:w="70.0" w:type="dxa"/>
      </w:tblCellMar>
    </w:tblPr>
  </w:style>
  <w:style w:type="table" w:styleId="Table4">
    <w:basedOn w:val="TableNormal"/>
    <w:tblPr>
      <w:tblStyleRowBandSize w:val="1"/>
      <w:tblStyleColBandSize w:val="1"/>
      <w:tblCellMar>
        <w:top w:w="0.0" w:type="dxa"/>
        <w:left w:w="70.0" w:type="dxa"/>
        <w:bottom w:w="0.0" w:type="dxa"/>
        <w:right w:w="70.0" w:type="dxa"/>
      </w:tblCellMar>
    </w:tblPr>
  </w:style>
  <w:style w:type="table" w:styleId="Table5">
    <w:basedOn w:val="TableNormal"/>
    <w:tblPr>
      <w:tblStyleRowBandSize w:val="1"/>
      <w:tblStyleColBandSize w:val="1"/>
      <w:tblCellMar>
        <w:top w:w="0.0" w:type="dxa"/>
        <w:left w:w="70.0" w:type="dxa"/>
        <w:bottom w:w="0.0" w:type="dxa"/>
        <w:right w:w="70.0" w:type="dxa"/>
      </w:tblCellMar>
    </w:tblPr>
  </w:style>
  <w:style w:type="table" w:styleId="Table6">
    <w:basedOn w:val="TableNormal"/>
    <w:tblPr>
      <w:tblStyleRowBandSize w:val="1"/>
      <w:tblStyleColBandSize w:val="1"/>
      <w:tblCellMar>
        <w:top w:w="0.0" w:type="dxa"/>
        <w:left w:w="70.0" w:type="dxa"/>
        <w:bottom w:w="0.0" w:type="dxa"/>
        <w:right w:w="70.0" w:type="dxa"/>
      </w:tblCellMar>
    </w:tblPr>
  </w:style>
  <w:style w:type="table" w:styleId="Table7">
    <w:basedOn w:val="TableNormal"/>
    <w:tblPr>
      <w:tblStyleRowBandSize w:val="1"/>
      <w:tblStyleColBandSize w:val="1"/>
      <w:tblCellMar>
        <w:top w:w="0.0" w:type="dxa"/>
        <w:left w:w="70.0" w:type="dxa"/>
        <w:bottom w:w="0.0" w:type="dxa"/>
        <w:right w:w="70.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70.0" w:type="dxa"/>
        <w:bottom w:w="0.0" w:type="dxa"/>
        <w:right w:w="70.0" w:type="dxa"/>
      </w:tblCellMar>
    </w:tblPr>
  </w:style>
  <w:style w:type="table" w:styleId="Table10">
    <w:basedOn w:val="TableNormal"/>
    <w:tblPr>
      <w:tblStyleRowBandSize w:val="1"/>
      <w:tblStyleColBandSize w:val="1"/>
      <w:tblCellMar>
        <w:top w:w="0.0" w:type="dxa"/>
        <w:left w:w="70.0" w:type="dxa"/>
        <w:bottom w:w="0.0" w:type="dxa"/>
        <w:right w:w="70.0" w:type="dxa"/>
      </w:tblCellMar>
    </w:tblPr>
  </w:style>
  <w:style w:type="table" w:styleId="Table11">
    <w:basedOn w:val="TableNormal"/>
    <w:tblPr>
      <w:tblStyleRowBandSize w:val="1"/>
      <w:tblStyleColBandSize w:val="1"/>
      <w:tblCellMar>
        <w:top w:w="0.0" w:type="dxa"/>
        <w:left w:w="70.0" w:type="dxa"/>
        <w:bottom w:w="0.0" w:type="dxa"/>
        <w:right w:w="70.0" w:type="dxa"/>
      </w:tblCellMar>
    </w:tblPr>
  </w:style>
  <w:style w:type="table" w:styleId="Table12">
    <w:basedOn w:val="TableNormal"/>
    <w:tblPr>
      <w:tblStyleRowBandSize w:val="1"/>
      <w:tblStyleColBandSize w:val="1"/>
      <w:tblCellMar>
        <w:top w:w="0.0" w:type="dxa"/>
        <w:left w:w="70.0" w:type="dxa"/>
        <w:bottom w:w="0.0" w:type="dxa"/>
        <w:right w:w="70.0" w:type="dxa"/>
      </w:tblCellMar>
    </w:tblPr>
  </w:style>
  <w:style w:type="table" w:styleId="Table13">
    <w:basedOn w:val="TableNormal"/>
    <w:tblPr>
      <w:tblStyleRowBandSize w:val="1"/>
      <w:tblStyleColBandSize w:val="1"/>
      <w:tblCellMar>
        <w:top w:w="0.0" w:type="dxa"/>
        <w:left w:w="70.0" w:type="dxa"/>
        <w:bottom w:w="0.0" w:type="dxa"/>
        <w:right w:w="70.0" w:type="dxa"/>
      </w:tblCellMar>
    </w:tblPr>
  </w:style>
  <w:style w:type="table" w:styleId="Table14">
    <w:basedOn w:val="TableNormal"/>
    <w:tblPr>
      <w:tblStyleRowBandSize w:val="1"/>
      <w:tblStyleColBandSize w:val="1"/>
      <w:tblCellMar>
        <w:top w:w="0.0" w:type="dxa"/>
        <w:left w:w="70.0" w:type="dxa"/>
        <w:bottom w:w="0.0" w:type="dxa"/>
        <w:right w:w="70.0" w:type="dxa"/>
      </w:tblCellMar>
    </w:tblPr>
  </w:style>
  <w:style w:type="table" w:styleId="Table15">
    <w:basedOn w:val="TableNormal"/>
    <w:tblPr>
      <w:tblStyleRowBandSize w:val="1"/>
      <w:tblStyleColBandSize w:val="1"/>
      <w:tblCellMar>
        <w:top w:w="0.0" w:type="dxa"/>
        <w:left w:w="70.0" w:type="dxa"/>
        <w:bottom w:w="0.0" w:type="dxa"/>
        <w:right w:w="70.0" w:type="dxa"/>
      </w:tblCellMar>
    </w:tblPr>
  </w:style>
  <w:style w:type="table" w:styleId="Table16">
    <w:basedOn w:val="TableNormal"/>
    <w:tblPr>
      <w:tblStyleRowBandSize w:val="1"/>
      <w:tblStyleColBandSize w:val="1"/>
      <w:tblCellMar>
        <w:top w:w="0.0" w:type="dxa"/>
        <w:left w:w="70.0" w:type="dxa"/>
        <w:bottom w:w="0.0" w:type="dxa"/>
        <w:right w:w="70.0" w:type="dxa"/>
      </w:tblCellMar>
    </w:tblPr>
  </w:style>
  <w:style w:type="table" w:styleId="Table17">
    <w:basedOn w:val="TableNormal"/>
    <w:tblPr>
      <w:tblStyleRowBandSize w:val="1"/>
      <w:tblStyleColBandSize w:val="1"/>
      <w:tblCellMar>
        <w:top w:w="0.0" w:type="dxa"/>
        <w:left w:w="70.0" w:type="dxa"/>
        <w:bottom w:w="0.0" w:type="dxa"/>
        <w:right w:w="70.0" w:type="dxa"/>
      </w:tblCellMar>
    </w:tblPr>
  </w:style>
  <w:style w:type="table" w:styleId="Table18">
    <w:basedOn w:val="TableNormal"/>
    <w:tblPr>
      <w:tblStyleRowBandSize w:val="1"/>
      <w:tblStyleColBandSize w:val="1"/>
      <w:tblCellMar>
        <w:top w:w="0.0" w:type="dxa"/>
        <w:left w:w="70.0" w:type="dxa"/>
        <w:bottom w:w="0.0" w:type="dxa"/>
        <w:right w:w="70.0" w:type="dxa"/>
      </w:tblCellMar>
    </w:tblPr>
  </w:style>
  <w:style w:type="table" w:styleId="Table19">
    <w:basedOn w:val="TableNormal"/>
    <w:tblPr>
      <w:tblStyleRowBandSize w:val="1"/>
      <w:tblStyleColBandSize w:val="1"/>
      <w:tblCellMar>
        <w:top w:w="0.0" w:type="dxa"/>
        <w:left w:w="70.0" w:type="dxa"/>
        <w:bottom w:w="0.0" w:type="dxa"/>
        <w:right w:w="70.0" w:type="dxa"/>
      </w:tblCellMar>
    </w:tblPr>
  </w:style>
  <w:style w:type="table" w:styleId="Table20">
    <w:basedOn w:val="TableNormal"/>
    <w:tblPr>
      <w:tblStyleRowBandSize w:val="1"/>
      <w:tblStyleColBandSize w:val="1"/>
      <w:tblCellMar>
        <w:top w:w="0.0" w:type="dxa"/>
        <w:left w:w="70.0" w:type="dxa"/>
        <w:bottom w:w="0.0" w:type="dxa"/>
        <w:right w:w="70.0" w:type="dxa"/>
      </w:tblCellMar>
    </w:tblPr>
  </w:style>
  <w:style w:type="table" w:styleId="Table21">
    <w:basedOn w:val="TableNormal"/>
    <w:tblPr>
      <w:tblStyleRowBandSize w:val="1"/>
      <w:tblStyleColBandSize w:val="1"/>
      <w:tblCellMar>
        <w:top w:w="0.0" w:type="dxa"/>
        <w:left w:w="70.0" w:type="dxa"/>
        <w:bottom w:w="0.0" w:type="dxa"/>
        <w:right w:w="70.0" w:type="dxa"/>
      </w:tblCellMar>
    </w:tblPr>
  </w:style>
  <w:style w:type="table" w:styleId="Table2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3">
    <w:basedOn w:val="TableNormal"/>
    <w:tblPr>
      <w:tblStyleRowBandSize w:val="1"/>
      <w:tblStyleColBandSize w:val="1"/>
      <w:tblCellMar>
        <w:top w:w="0.0" w:type="dxa"/>
        <w:left w:w="70.0" w:type="dxa"/>
        <w:bottom w:w="0.0" w:type="dxa"/>
        <w:right w:w="70.0" w:type="dxa"/>
      </w:tblCellMar>
    </w:tblPr>
  </w:style>
  <w:style w:type="table" w:styleId="Table24">
    <w:basedOn w:val="TableNormal"/>
    <w:tblPr>
      <w:tblStyleRowBandSize w:val="1"/>
      <w:tblStyleColBandSize w:val="1"/>
      <w:tblCellMar>
        <w:top w:w="0.0" w:type="dxa"/>
        <w:left w:w="70.0" w:type="dxa"/>
        <w:bottom w:w="0.0" w:type="dxa"/>
        <w:right w:w="70.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tblPr>
      <w:tblStyleRowBandSize w:val="1"/>
      <w:tblStyleColBandSize w:val="1"/>
      <w:tblCellMar>
        <w:top w:w="0.0" w:type="dxa"/>
        <w:left w:w="70.0" w:type="dxa"/>
        <w:bottom w:w="0.0" w:type="dxa"/>
        <w:right w:w="7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9.png"/><Relationship Id="rId83" Type="http://schemas.openxmlformats.org/officeDocument/2006/relationships/footer" Target="footer2.xml"/><Relationship Id="rId42" Type="http://schemas.openxmlformats.org/officeDocument/2006/relationships/image" Target="media/image10.png"/><Relationship Id="rId41" Type="http://schemas.openxmlformats.org/officeDocument/2006/relationships/image" Target="media/image14.png"/><Relationship Id="rId44" Type="http://schemas.openxmlformats.org/officeDocument/2006/relationships/hyperlink" Target="https://www.diputados.gob.mx/LeyesBiblio/pdf/LGDS.pdf" TargetMode="External"/><Relationship Id="rId43" Type="http://schemas.openxmlformats.org/officeDocument/2006/relationships/image" Target="media/image11.png"/><Relationship Id="rId46" Type="http://schemas.openxmlformats.org/officeDocument/2006/relationships/hyperlink" Target="https://doi.org/10.3390/rs6065559" TargetMode="External"/><Relationship Id="rId45" Type="http://schemas.openxmlformats.org/officeDocument/2006/relationships/hyperlink" Target="https://forestales.ujed.mx/incendios2/descargas/Manual_AQ_v1_3_20230401_RV4_CB.pdf" TargetMode="External"/><Relationship Id="rId80" Type="http://schemas.openxmlformats.org/officeDocument/2006/relationships/footer" Target="footer1.xml"/><Relationship Id="rId82" Type="http://schemas.openxmlformats.org/officeDocument/2006/relationships/header" Target="header2.xml"/><Relationship Id="rId81" Type="http://schemas.openxmlformats.org/officeDocument/2006/relationships/image" Target="media/image1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www.northcom.mil/" TargetMode="External"/><Relationship Id="rId48" Type="http://schemas.openxmlformats.org/officeDocument/2006/relationships/hyperlink" Target="https://idefor.cnf.gob.mx/documents/641/download" TargetMode="External"/><Relationship Id="rId47" Type="http://schemas.openxmlformats.org/officeDocument/2006/relationships/hyperlink" Target="https://doi.org/10.1080/09640568.2022.2161876" TargetMode="External"/><Relationship Id="rId49" Type="http://schemas.openxmlformats.org/officeDocument/2006/relationships/hyperlink" Target="https://www.conafor.gob.mx/apoyos/docs/externos/2022/DocumentosMetodologicos/2019/ANEXO_Procedimientos_de_muestreo_2019.pdf"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6.jpg"/><Relationship Id="rId73" Type="http://schemas.openxmlformats.org/officeDocument/2006/relationships/hyperlink" Target="https://www.ramsar.org/sites/default/files/documents/library/gwo_s.pdf" TargetMode="External"/><Relationship Id="rId72" Type="http://schemas.openxmlformats.org/officeDocument/2006/relationships/hyperlink" Target="http://qgis.osgeo.org" TargetMode="External"/><Relationship Id="rId31" Type="http://schemas.openxmlformats.org/officeDocument/2006/relationships/image" Target="media/image36.png"/><Relationship Id="rId75" Type="http://schemas.openxmlformats.org/officeDocument/2006/relationships/hyperlink" Target="https://cienciasforestales.inifap.gob.mx/index.php/forestales/article/view/736/1898" TargetMode="External"/><Relationship Id="rId30" Type="http://schemas.openxmlformats.org/officeDocument/2006/relationships/image" Target="media/image27.png"/><Relationship Id="rId74" Type="http://schemas.openxmlformats.org/officeDocument/2006/relationships/hyperlink" Target="https://doi.org/10.1071/WF02040" TargetMode="External"/><Relationship Id="rId33" Type="http://schemas.openxmlformats.org/officeDocument/2006/relationships/image" Target="media/image34.png"/><Relationship Id="rId77" Type="http://schemas.openxmlformats.org/officeDocument/2006/relationships/hyperlink" Target="https://dof.gob.mx/nota_detalle.php?codigo=5710189&amp;fecha=01/12/2023#gsc.tab=0" TargetMode="External"/><Relationship Id="rId32" Type="http://schemas.openxmlformats.org/officeDocument/2006/relationships/image" Target="media/image32.png"/><Relationship Id="rId76" Type="http://schemas.openxmlformats.org/officeDocument/2006/relationships/hyperlink" Target="https://investigacion.fca.unam.mx/docs/memorias/2014/9.06.pdf" TargetMode="External"/><Relationship Id="rId35" Type="http://schemas.openxmlformats.org/officeDocument/2006/relationships/image" Target="media/image1.png"/><Relationship Id="rId79" Type="http://schemas.openxmlformats.org/officeDocument/2006/relationships/header" Target="header1.xml"/><Relationship Id="rId34" Type="http://schemas.openxmlformats.org/officeDocument/2006/relationships/image" Target="media/image13.png"/><Relationship Id="rId78" Type="http://schemas.openxmlformats.org/officeDocument/2006/relationships/hyperlink" Target="https://www.gob.mx/sesnsp/acciones-y-programas/datos-abiertos-de-incidencia-delictiva" TargetMode="External"/><Relationship Id="rId71" Type="http://schemas.openxmlformats.org/officeDocument/2006/relationships/hyperlink" Target="https://doi.org/10.1080/2150704X.2021.1931530" TargetMode="External"/><Relationship Id="rId70" Type="http://schemas.openxmlformats.org/officeDocument/2006/relationships/hyperlink" Target="https://doi.org/10.1016/j.scitotenv.2020.137313" TargetMode="External"/><Relationship Id="rId37" Type="http://schemas.openxmlformats.org/officeDocument/2006/relationships/image" Target="media/image17.png"/><Relationship Id="rId36" Type="http://schemas.openxmlformats.org/officeDocument/2006/relationships/image" Target="media/image2.png"/><Relationship Id="rId39" Type="http://schemas.openxmlformats.org/officeDocument/2006/relationships/image" Target="media/image4.png"/><Relationship Id="rId38" Type="http://schemas.openxmlformats.org/officeDocument/2006/relationships/image" Target="media/image8.png"/><Relationship Id="rId62" Type="http://schemas.openxmlformats.org/officeDocument/2006/relationships/hyperlink" Target="https://doi.org/10.1016/j.rse.2017.06.031" TargetMode="External"/><Relationship Id="rId61" Type="http://schemas.openxmlformats.org/officeDocument/2006/relationships/hyperlink" Target="https://doi.org/10.1080/02693799208901893" TargetMode="External"/><Relationship Id="rId20" Type="http://schemas.openxmlformats.org/officeDocument/2006/relationships/image" Target="media/image5.png"/><Relationship Id="rId64" Type="http://schemas.openxmlformats.org/officeDocument/2006/relationships/hyperlink" Target="https://www.inegi.org.mx/app/descarga/default.html" TargetMode="External"/><Relationship Id="rId63" Type="http://schemas.openxmlformats.org/officeDocument/2006/relationships/hyperlink" Target="https://www.jstor.org/stable/43597968" TargetMode="External"/><Relationship Id="rId22" Type="http://schemas.openxmlformats.org/officeDocument/2006/relationships/image" Target="media/image21.png"/><Relationship Id="rId66" Type="http://schemas.openxmlformats.org/officeDocument/2006/relationships/hyperlink" Target="https://snigf.cnf.gob.mx/wp-content/uploads/Incendios/Insumos%20Manejo%20Fuego/Modelos%20combustibles/Guia%20modelos.pdf" TargetMode="External"/><Relationship Id="rId21" Type="http://schemas.openxmlformats.org/officeDocument/2006/relationships/image" Target="media/image16.png"/><Relationship Id="rId65" Type="http://schemas.openxmlformats.org/officeDocument/2006/relationships/hyperlink" Target="https://www.inegi.org.mx/app/biblioteca/ficha.html?upc=794551067314" TargetMode="External"/><Relationship Id="rId24" Type="http://schemas.openxmlformats.org/officeDocument/2006/relationships/image" Target="media/image30.png"/><Relationship Id="rId68" Type="http://schemas.openxmlformats.org/officeDocument/2006/relationships/hyperlink" Target="https://doi.org/10.1080/13658810600661508" TargetMode="External"/><Relationship Id="rId23" Type="http://schemas.openxmlformats.org/officeDocument/2006/relationships/image" Target="media/image25.png"/><Relationship Id="rId67" Type="http://schemas.openxmlformats.org/officeDocument/2006/relationships/hyperlink" Target="https://www.gob.mx/cms/uploads/attachment/file/907689/Conapo.__2024_._Poblacion_indigena._Caracteristicas_sociodemograficas_2020..pdf" TargetMode="External"/><Relationship Id="rId60" Type="http://schemas.openxmlformats.org/officeDocument/2006/relationships/hyperlink" Target="https://doi.org/10.3390/rs12182870" TargetMode="External"/><Relationship Id="rId26" Type="http://schemas.openxmlformats.org/officeDocument/2006/relationships/image" Target="media/image33.png"/><Relationship Id="rId25" Type="http://schemas.openxmlformats.org/officeDocument/2006/relationships/image" Target="media/image26.png"/><Relationship Id="rId69" Type="http://schemas.openxmlformats.org/officeDocument/2006/relationships/hyperlink" Target="https://doi.org/10.1111/1365-2745.13403" TargetMode="External"/><Relationship Id="rId28" Type="http://schemas.openxmlformats.org/officeDocument/2006/relationships/image" Target="media/image28.png"/><Relationship Id="rId27" Type="http://schemas.openxmlformats.org/officeDocument/2006/relationships/image" Target="media/image31.png"/><Relationship Id="rId29" Type="http://schemas.openxmlformats.org/officeDocument/2006/relationships/image" Target="media/image29.png"/><Relationship Id="rId51" Type="http://schemas.openxmlformats.org/officeDocument/2006/relationships/hyperlink" Target="https://snigf.cnf.gob.mx/incendios-forestales/" TargetMode="External"/><Relationship Id="rId50" Type="http://schemas.openxmlformats.org/officeDocument/2006/relationships/hyperlink" Target="https://monitoreo.conabio.gob.mx/snmb_charts/descarga_datos_madmex.html" TargetMode="External"/><Relationship Id="rId53" Type="http://schemas.openxmlformats.org/officeDocument/2006/relationships/hyperlink" Target="https://snif.cnf.gob.mx/produccion_y_productividad" TargetMode="External"/><Relationship Id="rId52" Type="http://schemas.openxmlformats.org/officeDocument/2006/relationships/hyperlink" Target="https://snif.cnf.gob.mx/produccion_y_productividad" TargetMode="External"/><Relationship Id="rId11" Type="http://schemas.openxmlformats.org/officeDocument/2006/relationships/hyperlink" Target="http://forestales.ujed.mx" TargetMode="External"/><Relationship Id="rId55" Type="http://schemas.openxmlformats.org/officeDocument/2006/relationships/hyperlink" Target="https://sig.conanp.gob.mx/Shape" TargetMode="External"/><Relationship Id="rId10" Type="http://schemas.openxmlformats.org/officeDocument/2006/relationships/hyperlink" Target="http://www.gob.mx/conafor" TargetMode="External"/><Relationship Id="rId54" Type="http://schemas.openxmlformats.org/officeDocument/2006/relationships/hyperlink" Target="http://geoportal.conabio.gob.mx/metadatos/doc/html/aicas15gw.html" TargetMode="External"/><Relationship Id="rId13" Type="http://schemas.openxmlformats.org/officeDocument/2006/relationships/image" Target="media/image15.png"/><Relationship Id="rId57" Type="http://schemas.openxmlformats.org/officeDocument/2006/relationships/hyperlink" Target="https://www.coneval.org.mx/Medicion/Documents/Pobreza_municipal/2020/Presentacion_Pobreza_Municipal_2020.pdf#page=8.00" TargetMode="External"/><Relationship Id="rId12" Type="http://schemas.openxmlformats.org/officeDocument/2006/relationships/hyperlink" Target="https://www.iso.org/obp/ui/#iso:code:3166:MX" TargetMode="External"/><Relationship Id="rId56" Type="http://schemas.openxmlformats.org/officeDocument/2006/relationships/hyperlink" Target="https://datos.gob.mx/busca/dataset/consuta-de-sitios-ramsar-en-google-earth" TargetMode="External"/><Relationship Id="rId15" Type="http://schemas.openxmlformats.org/officeDocument/2006/relationships/image" Target="media/image7.png"/><Relationship Id="rId59" Type="http://schemas.openxmlformats.org/officeDocument/2006/relationships/hyperlink" Target="https://sentinel.esa.int/web/sentinel/missions/sentinel-2/instrument-payload/resolution-and-swath" TargetMode="External"/><Relationship Id="rId14" Type="http://schemas.openxmlformats.org/officeDocument/2006/relationships/image" Target="media/image12.png"/><Relationship Id="rId58" Type="http://schemas.openxmlformats.org/officeDocument/2006/relationships/hyperlink" Target="https://www.coneval.org.mx/Medicion/Paginas/Criterios-ZAP.aspx" TargetMode="External"/><Relationship Id="rId17" Type="http://schemas.openxmlformats.org/officeDocument/2006/relationships/image" Target="media/image22.png"/><Relationship Id="rId16" Type="http://schemas.openxmlformats.org/officeDocument/2006/relationships/hyperlink" Target="http://forestales.ujed.mx/incendios2/" TargetMode="External"/><Relationship Id="rId19" Type="http://schemas.openxmlformats.org/officeDocument/2006/relationships/image" Target="media/image3.png"/><Relationship Id="rId18" Type="http://schemas.openxmlformats.org/officeDocument/2006/relationships/image" Target="media/image24.png"/></Relationships>
</file>

<file path=word/_rels/fontTable.xml.rels><?xml version="1.0" encoding="UTF-8" standalone="yes"?><Relationships xmlns="http://schemas.openxmlformats.org/package/2006/relationships"><Relationship Id="rId11" Type="http://schemas.openxmlformats.org/officeDocument/2006/relationships/font" Target="fonts/NotoSansSymbols-regular.ttf"/><Relationship Id="rId10" Type="http://schemas.openxmlformats.org/officeDocument/2006/relationships/font" Target="fonts/Candara-boldItalic.ttf"/><Relationship Id="rId13" Type="http://schemas.openxmlformats.org/officeDocument/2006/relationships/font" Target="fonts/CambriaMath-regular.ttf"/><Relationship Id="rId12" Type="http://schemas.openxmlformats.org/officeDocument/2006/relationships/font" Target="fonts/NotoSansSymbols-bold.ttf"/><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ArialNarrow-regular.ttf"/><Relationship Id="rId4" Type="http://schemas.openxmlformats.org/officeDocument/2006/relationships/font" Target="fonts/ArialNarrow-bold.ttf"/><Relationship Id="rId9" Type="http://schemas.openxmlformats.org/officeDocument/2006/relationships/font" Target="fonts/Candara-italic.ttf"/><Relationship Id="rId5" Type="http://schemas.openxmlformats.org/officeDocument/2006/relationships/font" Target="fonts/ArialNarrow-italic.ttf"/><Relationship Id="rId6" Type="http://schemas.openxmlformats.org/officeDocument/2006/relationships/font" Target="fonts/ArialNarrow-boldItalic.ttf"/><Relationship Id="rId7" Type="http://schemas.openxmlformats.org/officeDocument/2006/relationships/font" Target="fonts/Candara-regular.ttf"/><Relationship Id="rId8" Type="http://schemas.openxmlformats.org/officeDocument/2006/relationships/font" Target="fonts/Candara-bold.ttf"/></Relationships>
</file>

<file path=word/_rels/footnotes.xml.rels><?xml version="1.0" encoding="UTF-8" standalone="yes"?><Relationships xmlns="http://schemas.openxmlformats.org/package/2006/relationships"><Relationship Id="rId1" Type="http://schemas.openxmlformats.org/officeDocument/2006/relationships/hyperlink" Target="https://www.gob.mx/conanp/documentos/areas-naturales-protegidas-27822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4s1L4nrOgOw2WfyxZOa3sVTgIDw==">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2025-04-21T17:31:00Z</dcterms:created>
  <dc:creator>M.G. ADRIÁN I. SILVA-CARDOZA</dc:creator>
</cp:coreProperties>
</file>